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1A69" w14:textId="4D019308" w:rsidR="0055016D" w:rsidRPr="0055016D" w:rsidRDefault="0055016D" w:rsidP="0055016D">
      <w:pPr>
        <w:jc w:val="center"/>
        <w:rPr>
          <w:b/>
          <w:u w:val="single"/>
        </w:rPr>
      </w:pPr>
      <w:r w:rsidRPr="0055016D">
        <w:rPr>
          <w:b/>
          <w:u w:val="single"/>
        </w:rPr>
        <w:t>RETAINER AGREEMENT</w:t>
      </w:r>
    </w:p>
    <w:p w14:paraId="7691F6BF" w14:textId="77777777" w:rsidR="0055016D" w:rsidRDefault="0055016D" w:rsidP="0055016D"/>
    <w:p w14:paraId="58B3FDF6" w14:textId="323F60D9" w:rsidR="0055016D" w:rsidRPr="000537F9" w:rsidRDefault="009D63B6" w:rsidP="000537F9">
      <w:r w:rsidRPr="000537F9">
        <w:t xml:space="preserve">The Attorney General of the State of </w:t>
      </w:r>
      <w:r w:rsidR="00D76AB7">
        <w:t>[INSERT STATE]</w:t>
      </w:r>
      <w:r w:rsidR="0055016D" w:rsidRPr="000537F9">
        <w:t xml:space="preserve"> (</w:t>
      </w:r>
      <w:r w:rsidR="002423AC" w:rsidRPr="000537F9">
        <w:t xml:space="preserve">“OAG” or </w:t>
      </w:r>
      <w:r w:rsidR="0055016D" w:rsidRPr="000537F9">
        <w:t xml:space="preserve">“Client”) and </w:t>
      </w:r>
      <w:r w:rsidR="008228BB">
        <w:t xml:space="preserve">New York University on behalf of </w:t>
      </w:r>
      <w:r w:rsidR="00CB4098">
        <w:t xml:space="preserve">the </w:t>
      </w:r>
      <w:r w:rsidR="008228BB">
        <w:t xml:space="preserve">lawyers at the </w:t>
      </w:r>
      <w:r w:rsidR="00CB4098">
        <w:t xml:space="preserve">State Energy &amp; Environmental Impact Center at NYU School of Law </w:t>
      </w:r>
      <w:r w:rsidR="000537F9" w:rsidRPr="000537F9">
        <w:t xml:space="preserve">(“Counsel”) agree to the following </w:t>
      </w:r>
      <w:r w:rsidR="00627AA8">
        <w:t xml:space="preserve">arrangement </w:t>
      </w:r>
      <w:r w:rsidR="000537F9" w:rsidRPr="000537F9">
        <w:t>regarding Counsel</w:t>
      </w:r>
      <w:r w:rsidR="00400650">
        <w:t xml:space="preserve"> advising </w:t>
      </w:r>
      <w:r w:rsidR="000537F9" w:rsidRPr="000537F9">
        <w:t xml:space="preserve">Client from time to time </w:t>
      </w:r>
      <w:r w:rsidR="00CB4098">
        <w:t xml:space="preserve">on administrative, judicial, or </w:t>
      </w:r>
      <w:r w:rsidR="00A53C1E">
        <w:t>statutory</w:t>
      </w:r>
      <w:r w:rsidR="00CB4098">
        <w:t xml:space="preserve"> matters involving clean energy, climate change, and environmental protection </w:t>
      </w:r>
      <w:r w:rsidR="003564F0" w:rsidRPr="000537F9">
        <w:t>(the “</w:t>
      </w:r>
      <w:bookmarkStart w:id="0" w:name="_GoBack"/>
      <w:bookmarkEnd w:id="0"/>
      <w:r w:rsidR="003564F0" w:rsidRPr="000537F9">
        <w:t>Subject Matters”), including advice on the Subject Matters as may be sought</w:t>
      </w:r>
      <w:r w:rsidR="002423AC" w:rsidRPr="000537F9">
        <w:t xml:space="preserve"> in connection with </w:t>
      </w:r>
      <w:r w:rsidR="003A7507" w:rsidRPr="000537F9">
        <w:t xml:space="preserve">potential </w:t>
      </w:r>
      <w:r w:rsidR="004C38EB" w:rsidRPr="000537F9">
        <w:t xml:space="preserve">litigation </w:t>
      </w:r>
      <w:r w:rsidR="002423AC" w:rsidRPr="000537F9">
        <w:t>brought by or involving OAG</w:t>
      </w:r>
      <w:r w:rsidR="0055016D" w:rsidRPr="000537F9">
        <w:t xml:space="preserve">. </w:t>
      </w:r>
      <w:r w:rsidR="00C419B9">
        <w:t xml:space="preserve">For purposes of this Agreement, Counsel include only those lawyers who are working </w:t>
      </w:r>
      <w:r w:rsidR="00627AA8">
        <w:t>directly on behalf of or for</w:t>
      </w:r>
      <w:r w:rsidR="00C419B9">
        <w:t xml:space="preserve"> the State Energy &amp; Environmental Impact Center; it does not apply to NYU Law Fellows who </w:t>
      </w:r>
      <w:r w:rsidR="009C44BE">
        <w:t xml:space="preserve">will be or </w:t>
      </w:r>
      <w:r w:rsidR="00C419B9">
        <w:t xml:space="preserve">are serving as Special Assistant Attorneys General. </w:t>
      </w:r>
    </w:p>
    <w:p w14:paraId="0C22BAE2" w14:textId="77777777" w:rsidR="0055016D" w:rsidRPr="000537F9" w:rsidRDefault="0055016D" w:rsidP="0055016D"/>
    <w:p w14:paraId="2B6834E3" w14:textId="77777777" w:rsidR="0055016D" w:rsidRPr="000537F9" w:rsidRDefault="0055016D" w:rsidP="0055016D">
      <w:r w:rsidRPr="000537F9">
        <w:t>Counsel and Client agree to the following terms and conditions:</w:t>
      </w:r>
    </w:p>
    <w:p w14:paraId="57C1B890" w14:textId="77777777" w:rsidR="0055016D" w:rsidRPr="000537F9" w:rsidRDefault="0055016D" w:rsidP="0055016D"/>
    <w:p w14:paraId="3DD24CD2" w14:textId="5651281C" w:rsidR="0055016D" w:rsidRDefault="0055016D" w:rsidP="0055016D">
      <w:pPr>
        <w:rPr>
          <w:b/>
          <w:u w:val="single"/>
        </w:rPr>
      </w:pPr>
      <w:r w:rsidRPr="0055016D">
        <w:rPr>
          <w:b/>
          <w:u w:val="single"/>
        </w:rPr>
        <w:t xml:space="preserve">SCOPE AND NATURE OF </w:t>
      </w:r>
      <w:r w:rsidR="00400650">
        <w:rPr>
          <w:b/>
          <w:u w:val="single"/>
        </w:rPr>
        <w:t>ENGAGEMENT</w:t>
      </w:r>
      <w:r w:rsidR="00400650" w:rsidRPr="0055016D">
        <w:rPr>
          <w:b/>
          <w:u w:val="single"/>
        </w:rPr>
        <w:t xml:space="preserve"> </w:t>
      </w:r>
    </w:p>
    <w:p w14:paraId="47D9EC54" w14:textId="77777777" w:rsidR="0055016D" w:rsidRPr="0055016D" w:rsidRDefault="0055016D" w:rsidP="0055016D">
      <w:pPr>
        <w:rPr>
          <w:b/>
          <w:u w:val="single"/>
        </w:rPr>
      </w:pPr>
    </w:p>
    <w:p w14:paraId="0E4C3CC4" w14:textId="102A6CD9" w:rsidR="0055016D" w:rsidRDefault="0055016D" w:rsidP="00627AA8">
      <w:pPr>
        <w:pStyle w:val="ListParagraph"/>
        <w:numPr>
          <w:ilvl w:val="0"/>
          <w:numId w:val="13"/>
        </w:numPr>
      </w:pPr>
      <w:r>
        <w:t xml:space="preserve">Counsel has agreed to advise </w:t>
      </w:r>
      <w:r w:rsidR="00841E15">
        <w:t>OAG</w:t>
      </w:r>
      <w:r w:rsidR="0033335E">
        <w:t xml:space="preserve"> </w:t>
      </w:r>
      <w:r>
        <w:t xml:space="preserve">on </w:t>
      </w:r>
      <w:r w:rsidR="003564F0">
        <w:t xml:space="preserve">the Subject Matters, including </w:t>
      </w:r>
      <w:r w:rsidR="00841E15">
        <w:t xml:space="preserve">in connection with </w:t>
      </w:r>
      <w:r w:rsidR="003A7507">
        <w:t xml:space="preserve">potential </w:t>
      </w:r>
      <w:r w:rsidR="004C38EB">
        <w:t xml:space="preserve">litigation </w:t>
      </w:r>
      <w:r w:rsidR="00627AA8">
        <w:t xml:space="preserve">to the Subject Matters </w:t>
      </w:r>
      <w:r w:rsidR="00841E15">
        <w:t xml:space="preserve">to be brought by or involving OAG.  </w:t>
      </w:r>
      <w:r w:rsidR="000537F9">
        <w:t xml:space="preserve">Counsel’s </w:t>
      </w:r>
      <w:r w:rsidR="00400650">
        <w:t xml:space="preserve">engagement </w:t>
      </w:r>
      <w:r>
        <w:t xml:space="preserve">is limited to </w:t>
      </w:r>
      <w:r w:rsidR="00CA0DD3">
        <w:t xml:space="preserve">advising the OAG on </w:t>
      </w:r>
      <w:r>
        <w:t>th</w:t>
      </w:r>
      <w:r w:rsidR="00841E15">
        <w:t>e</w:t>
      </w:r>
      <w:r>
        <w:t xml:space="preserve"> </w:t>
      </w:r>
      <w:r w:rsidR="003564F0">
        <w:t xml:space="preserve">Subject </w:t>
      </w:r>
      <w:r w:rsidR="00841E15">
        <w:t>M</w:t>
      </w:r>
      <w:r>
        <w:t>atter</w:t>
      </w:r>
      <w:r w:rsidR="003564F0">
        <w:t>s</w:t>
      </w:r>
      <w:r>
        <w:t xml:space="preserve"> only and does not include a</w:t>
      </w:r>
      <w:r w:rsidR="00841E15">
        <w:t>ny</w:t>
      </w:r>
      <w:r>
        <w:t xml:space="preserve"> commitment </w:t>
      </w:r>
      <w:r w:rsidR="00841E15">
        <w:t xml:space="preserve">or undertaking </w:t>
      </w:r>
      <w:r w:rsidR="00CA0DD3">
        <w:t>to appear or represent</w:t>
      </w:r>
      <w:r w:rsidR="00627AA8">
        <w:t xml:space="preserve"> or to advise</w:t>
      </w:r>
      <w:r w:rsidR="00CA0DD3">
        <w:t xml:space="preserve"> the OAG in any proceeding or litigation or to </w:t>
      </w:r>
      <w:r w:rsidR="00400650">
        <w:t xml:space="preserve">advise </w:t>
      </w:r>
      <w:r w:rsidR="00CA0DD3">
        <w:t xml:space="preserve">the </w:t>
      </w:r>
      <w:r w:rsidR="00841E15">
        <w:t>OAG</w:t>
      </w:r>
      <w:r>
        <w:t xml:space="preserve"> in any</w:t>
      </w:r>
      <w:r w:rsidR="009D63B6">
        <w:t xml:space="preserve"> other</w:t>
      </w:r>
      <w:r>
        <w:t xml:space="preserve"> </w:t>
      </w:r>
      <w:r w:rsidR="00841E15">
        <w:t xml:space="preserve">matter, proceeding or </w:t>
      </w:r>
      <w:r>
        <w:t xml:space="preserve">litigation.  </w:t>
      </w:r>
    </w:p>
    <w:p w14:paraId="26CFA3A9" w14:textId="4B6D8E26" w:rsidR="003479FE" w:rsidRDefault="003479FE" w:rsidP="0055016D"/>
    <w:p w14:paraId="0A493AF4" w14:textId="77777777" w:rsidR="00627AA8" w:rsidRDefault="003479FE" w:rsidP="0055016D">
      <w:pPr>
        <w:pStyle w:val="ListParagraph"/>
        <w:numPr>
          <w:ilvl w:val="0"/>
          <w:numId w:val="13"/>
        </w:numPr>
      </w:pPr>
      <w:r>
        <w:t xml:space="preserve">The relationship of </w:t>
      </w:r>
      <w:r w:rsidR="000537F9">
        <w:t xml:space="preserve">Counsel </w:t>
      </w:r>
      <w:r w:rsidR="00CB4098">
        <w:t xml:space="preserve">to OAG </w:t>
      </w:r>
      <w:r>
        <w:t xml:space="preserve">arising out of this agreement is that of attorney and client. </w:t>
      </w:r>
    </w:p>
    <w:p w14:paraId="36EF1C98" w14:textId="77777777" w:rsidR="00627AA8" w:rsidRDefault="00627AA8" w:rsidP="00627AA8"/>
    <w:p w14:paraId="01842562" w14:textId="36676088" w:rsidR="0055016D" w:rsidRDefault="0055016D" w:rsidP="0055016D">
      <w:pPr>
        <w:pStyle w:val="ListParagraph"/>
        <w:numPr>
          <w:ilvl w:val="0"/>
          <w:numId w:val="13"/>
        </w:numPr>
      </w:pPr>
      <w:r>
        <w:t xml:space="preserve">Counsel is not obligated to help </w:t>
      </w:r>
      <w:r w:rsidR="00747884">
        <w:t>OAG</w:t>
      </w:r>
      <w:r>
        <w:t xml:space="preserve"> </w:t>
      </w:r>
      <w:r w:rsidR="00747884">
        <w:t>secure</w:t>
      </w:r>
      <w:r>
        <w:t xml:space="preserve"> legal representation for any legal issues not covered by this agreement.  If Counsel decides to </w:t>
      </w:r>
      <w:r w:rsidR="00841E15">
        <w:t>advise OAG</w:t>
      </w:r>
      <w:r>
        <w:t xml:space="preserve"> in </w:t>
      </w:r>
      <w:r w:rsidR="003564F0">
        <w:t xml:space="preserve">connection with </w:t>
      </w:r>
      <w:r>
        <w:t xml:space="preserve">a different </w:t>
      </w:r>
      <w:r w:rsidR="00841E15">
        <w:t>matter</w:t>
      </w:r>
      <w:r>
        <w:t xml:space="preserve">, Counsel and the Client will agree to that </w:t>
      </w:r>
      <w:r w:rsidR="00400650">
        <w:t xml:space="preserve">engagement </w:t>
      </w:r>
      <w:r>
        <w:t>in a separate written agreement.</w:t>
      </w:r>
    </w:p>
    <w:p w14:paraId="459ACDC9" w14:textId="77777777" w:rsidR="0055016D" w:rsidRDefault="0055016D" w:rsidP="0055016D"/>
    <w:p w14:paraId="66DE1D4D" w14:textId="77777777" w:rsidR="0055016D" w:rsidRDefault="0055016D" w:rsidP="0055016D"/>
    <w:p w14:paraId="307D69A9" w14:textId="77777777" w:rsidR="00627AA8" w:rsidRDefault="0055016D" w:rsidP="0055016D">
      <w:pPr>
        <w:rPr>
          <w:b/>
          <w:u w:val="single"/>
        </w:rPr>
      </w:pPr>
      <w:r w:rsidRPr="0055016D">
        <w:rPr>
          <w:b/>
          <w:u w:val="single"/>
        </w:rPr>
        <w:t>FEES</w:t>
      </w:r>
      <w:r w:rsidR="00841E15">
        <w:rPr>
          <w:b/>
          <w:u w:val="single"/>
        </w:rPr>
        <w:t xml:space="preserve">, </w:t>
      </w:r>
      <w:r w:rsidRPr="0055016D">
        <w:rPr>
          <w:b/>
          <w:u w:val="single"/>
        </w:rPr>
        <w:t xml:space="preserve">COSTS </w:t>
      </w:r>
      <w:r w:rsidR="00841E15">
        <w:rPr>
          <w:b/>
          <w:u w:val="single"/>
        </w:rPr>
        <w:t>AND EXPENSES</w:t>
      </w:r>
    </w:p>
    <w:p w14:paraId="21232A8B" w14:textId="77777777" w:rsidR="00627AA8" w:rsidRDefault="00627AA8" w:rsidP="0055016D">
      <w:pPr>
        <w:rPr>
          <w:b/>
          <w:u w:val="single"/>
        </w:rPr>
      </w:pPr>
    </w:p>
    <w:p w14:paraId="73050AEA" w14:textId="77777777" w:rsidR="00627AA8" w:rsidRPr="00627AA8" w:rsidRDefault="0055016D" w:rsidP="0055016D">
      <w:pPr>
        <w:pStyle w:val="ListParagraph"/>
        <w:numPr>
          <w:ilvl w:val="0"/>
          <w:numId w:val="13"/>
        </w:numPr>
        <w:rPr>
          <w:b/>
          <w:u w:val="single"/>
        </w:rPr>
      </w:pPr>
      <w:r>
        <w:t xml:space="preserve">This </w:t>
      </w:r>
      <w:r w:rsidR="00400650">
        <w:t xml:space="preserve">engagement </w:t>
      </w:r>
      <w:r>
        <w:t xml:space="preserve">is pro bono, and </w:t>
      </w:r>
      <w:r w:rsidR="000537F9">
        <w:t xml:space="preserve">Counsel </w:t>
      </w:r>
      <w:r>
        <w:t xml:space="preserve">agrees not to charge </w:t>
      </w:r>
      <w:r w:rsidR="00841E15">
        <w:t>OAG</w:t>
      </w:r>
      <w:r>
        <w:t xml:space="preserve"> any attorneys’ fees for </w:t>
      </w:r>
      <w:r w:rsidR="000537F9">
        <w:t>Counsel</w:t>
      </w:r>
      <w:r w:rsidR="00841E15">
        <w:t>’s</w:t>
      </w:r>
      <w:r>
        <w:t xml:space="preserve"> legal services. </w:t>
      </w:r>
    </w:p>
    <w:p w14:paraId="1A7F1AEB" w14:textId="77777777" w:rsidR="00627AA8" w:rsidRPr="00627AA8" w:rsidRDefault="00627AA8" w:rsidP="00627AA8">
      <w:pPr>
        <w:pStyle w:val="ListParagraph"/>
        <w:rPr>
          <w:b/>
          <w:u w:val="single"/>
        </w:rPr>
      </w:pPr>
    </w:p>
    <w:p w14:paraId="675AC733" w14:textId="77777777" w:rsidR="00627AA8" w:rsidRPr="00627AA8" w:rsidRDefault="000537F9" w:rsidP="0055016D">
      <w:pPr>
        <w:pStyle w:val="ListParagraph"/>
        <w:numPr>
          <w:ilvl w:val="0"/>
          <w:numId w:val="13"/>
        </w:numPr>
        <w:rPr>
          <w:b/>
          <w:u w:val="single"/>
        </w:rPr>
      </w:pPr>
      <w:r>
        <w:t>Counsel</w:t>
      </w:r>
      <w:r w:rsidR="00841E15">
        <w:t xml:space="preserve"> </w:t>
      </w:r>
      <w:r w:rsidR="0055016D">
        <w:t xml:space="preserve">will </w:t>
      </w:r>
      <w:r w:rsidR="00841E15">
        <w:t>assume</w:t>
      </w:r>
      <w:r w:rsidR="0055016D">
        <w:t xml:space="preserve"> all costs associated with </w:t>
      </w:r>
      <w:r w:rsidR="00841E15">
        <w:t xml:space="preserve">its work on </w:t>
      </w:r>
      <w:r w:rsidR="0055016D">
        <w:t>th</w:t>
      </w:r>
      <w:r w:rsidR="00747884">
        <w:t xml:space="preserve">e </w:t>
      </w:r>
      <w:r w:rsidR="003564F0">
        <w:t xml:space="preserve">Subject </w:t>
      </w:r>
      <w:r w:rsidR="00747884">
        <w:t>Matter</w:t>
      </w:r>
      <w:r w:rsidR="003564F0">
        <w:t>s</w:t>
      </w:r>
      <w:r w:rsidR="00747884">
        <w:t>,</w:t>
      </w:r>
      <w:r w:rsidR="0055016D">
        <w:t xml:space="preserve"> which may</w:t>
      </w:r>
      <w:r w:rsidR="00747884">
        <w:t xml:space="preserve"> for </w:t>
      </w:r>
      <w:r w:rsidR="001E761D">
        <w:t>e</w:t>
      </w:r>
      <w:r w:rsidR="00747884">
        <w:t>xample</w:t>
      </w:r>
      <w:r w:rsidR="0055016D">
        <w:t xml:space="preserve"> include photocopying charges</w:t>
      </w:r>
      <w:r w:rsidR="00841E15">
        <w:t xml:space="preserve">, </w:t>
      </w:r>
      <w:r w:rsidR="00747884">
        <w:t>online legal research</w:t>
      </w:r>
      <w:r w:rsidR="00841E15">
        <w:t xml:space="preserve"> fees, travel expenses of its personnel</w:t>
      </w:r>
      <w:r w:rsidR="0055016D">
        <w:t xml:space="preserve"> or long</w:t>
      </w:r>
      <w:r w:rsidR="00627AA8">
        <w:t>-</w:t>
      </w:r>
      <w:r w:rsidR="0055016D">
        <w:t xml:space="preserve">distance telephone charges.  </w:t>
      </w:r>
      <w:r w:rsidR="00841E15">
        <w:t>Client</w:t>
      </w:r>
      <w:r w:rsidR="0055016D">
        <w:t xml:space="preserve"> undertake</w:t>
      </w:r>
      <w:r w:rsidR="00841E15">
        <w:t>s</w:t>
      </w:r>
      <w:r w:rsidR="0055016D">
        <w:t xml:space="preserve"> no obligation to pay any of the costs advanced by </w:t>
      </w:r>
      <w:r>
        <w:t xml:space="preserve">Counsel </w:t>
      </w:r>
      <w:r w:rsidR="0055016D">
        <w:t xml:space="preserve">in advising </w:t>
      </w:r>
      <w:r w:rsidR="00747884">
        <w:t>OAG</w:t>
      </w:r>
      <w:r w:rsidR="0055016D">
        <w:t xml:space="preserve"> in </w:t>
      </w:r>
      <w:r w:rsidR="00747884">
        <w:t>connection with the</w:t>
      </w:r>
      <w:r w:rsidR="0055016D">
        <w:t xml:space="preserve"> </w:t>
      </w:r>
      <w:r w:rsidR="003564F0">
        <w:t xml:space="preserve">Subject </w:t>
      </w:r>
      <w:r w:rsidR="00747884">
        <w:t>Matter</w:t>
      </w:r>
      <w:r w:rsidR="003564F0">
        <w:t>s</w:t>
      </w:r>
      <w:r w:rsidR="0055016D">
        <w:t>.</w:t>
      </w:r>
    </w:p>
    <w:p w14:paraId="2112E595" w14:textId="77777777" w:rsidR="00627AA8" w:rsidRDefault="00627AA8" w:rsidP="00627AA8"/>
    <w:p w14:paraId="0AB21B83" w14:textId="2098CD91" w:rsidR="00747884" w:rsidRPr="00627AA8" w:rsidRDefault="00747884" w:rsidP="0055016D">
      <w:pPr>
        <w:pStyle w:val="ListParagraph"/>
        <w:numPr>
          <w:ilvl w:val="0"/>
          <w:numId w:val="13"/>
        </w:numPr>
        <w:rPr>
          <w:b/>
          <w:u w:val="single"/>
        </w:rPr>
      </w:pPr>
      <w:r>
        <w:t xml:space="preserve">OAG will be responsible for paying all expenses in connection with </w:t>
      </w:r>
      <w:r w:rsidR="002C6277">
        <w:t xml:space="preserve">any investigation, proceeding or litigation involving or arising from </w:t>
      </w:r>
      <w:r>
        <w:t xml:space="preserve">the </w:t>
      </w:r>
      <w:r w:rsidR="003564F0">
        <w:t xml:space="preserve">Subject </w:t>
      </w:r>
      <w:r>
        <w:t>Matter</w:t>
      </w:r>
      <w:r w:rsidR="003564F0">
        <w:t>s</w:t>
      </w:r>
      <w:r>
        <w:t xml:space="preserve"> that would have been incurred if </w:t>
      </w:r>
      <w:r w:rsidR="000537F9">
        <w:t>Counsel</w:t>
      </w:r>
      <w:r>
        <w:t xml:space="preserve"> were not providing advice on the </w:t>
      </w:r>
      <w:r w:rsidR="003564F0">
        <w:t xml:space="preserve">Subject </w:t>
      </w:r>
      <w:r>
        <w:t>Matter</w:t>
      </w:r>
      <w:r w:rsidR="003564F0">
        <w:t>s</w:t>
      </w:r>
      <w:r>
        <w:t xml:space="preserve">, which may for </w:t>
      </w:r>
      <w:r w:rsidR="001E761D">
        <w:t>e</w:t>
      </w:r>
      <w:r>
        <w:t xml:space="preserve">xample include court reporter fees, transcript fees and expert witness fees.  </w:t>
      </w:r>
      <w:r w:rsidR="001157BE">
        <w:t xml:space="preserve">Such expenses shall be paid directly by the OAG, and may not be incurred by </w:t>
      </w:r>
      <w:r w:rsidR="000537F9">
        <w:t>Counsel</w:t>
      </w:r>
      <w:r w:rsidR="001157BE">
        <w:t xml:space="preserve"> without the OAG’s prior </w:t>
      </w:r>
      <w:r w:rsidR="00BF6659">
        <w:t>approval</w:t>
      </w:r>
      <w:r w:rsidR="001157BE">
        <w:t xml:space="preserve">. </w:t>
      </w:r>
    </w:p>
    <w:p w14:paraId="16A060D6" w14:textId="5EAC4108" w:rsidR="00841E15" w:rsidRDefault="00841E15" w:rsidP="0055016D"/>
    <w:p w14:paraId="4E2A4188" w14:textId="77777777" w:rsidR="00627AA8" w:rsidRDefault="00841E15" w:rsidP="00841E15">
      <w:pPr>
        <w:rPr>
          <w:b/>
          <w:u w:val="single"/>
        </w:rPr>
      </w:pPr>
      <w:r w:rsidRPr="0055016D">
        <w:rPr>
          <w:b/>
          <w:u w:val="single"/>
        </w:rPr>
        <w:t xml:space="preserve">DUTIES OF DISCLOSURE &amp; CONFIDENTIALITY </w:t>
      </w:r>
    </w:p>
    <w:p w14:paraId="768D499D" w14:textId="77777777" w:rsidR="00627AA8" w:rsidRDefault="00627AA8" w:rsidP="00841E15">
      <w:pPr>
        <w:rPr>
          <w:b/>
          <w:u w:val="single"/>
        </w:rPr>
      </w:pPr>
    </w:p>
    <w:p w14:paraId="0519E6AE" w14:textId="77777777" w:rsidR="00627AA8" w:rsidRPr="00627AA8" w:rsidRDefault="00841E15" w:rsidP="00627AA8">
      <w:pPr>
        <w:pStyle w:val="ListParagraph"/>
        <w:numPr>
          <w:ilvl w:val="0"/>
          <w:numId w:val="13"/>
        </w:numPr>
        <w:rPr>
          <w:b/>
          <w:u w:val="single"/>
        </w:rPr>
      </w:pPr>
      <w:r>
        <w:t xml:space="preserve">Counsel and Client each agree to ensure that all confidential and/or privileged/attorney work product information provided to each other is kept confidential. </w:t>
      </w:r>
      <w:r w:rsidR="005810C3">
        <w:t xml:space="preserve"> </w:t>
      </w:r>
    </w:p>
    <w:p w14:paraId="110F7799" w14:textId="469E6B64" w:rsidR="00627AA8" w:rsidRPr="00627AA8" w:rsidRDefault="005810C3" w:rsidP="00841E15">
      <w:pPr>
        <w:pStyle w:val="ListParagraph"/>
        <w:numPr>
          <w:ilvl w:val="0"/>
          <w:numId w:val="13"/>
        </w:numPr>
        <w:rPr>
          <w:b/>
          <w:u w:val="single"/>
        </w:rPr>
      </w:pPr>
      <w:r>
        <w:lastRenderedPageBreak/>
        <w:t>Counsel shall not enter into a common interest agreement</w:t>
      </w:r>
      <w:r w:rsidR="0033335E" w:rsidRPr="0033335E">
        <w:t xml:space="preserve"> </w:t>
      </w:r>
      <w:r w:rsidR="0033335E">
        <w:t xml:space="preserve">related to Subject Matters covered under this Agreement, </w:t>
      </w:r>
      <w:r>
        <w:t>or presume that a common interest exists with, a third party without prior authorization from the Client.</w:t>
      </w:r>
      <w:r w:rsidR="0033335E">
        <w:t xml:space="preserve"> </w:t>
      </w:r>
      <w:r w:rsidR="00C419B9">
        <w:t>It is expected that common interest agreements involving cooperation with other state Attorneys General offices pursuing collective action will be routinely granted by Client.</w:t>
      </w:r>
    </w:p>
    <w:p w14:paraId="5C670048" w14:textId="77777777" w:rsidR="00627AA8" w:rsidRPr="00627AA8" w:rsidRDefault="00627AA8" w:rsidP="00627AA8">
      <w:pPr>
        <w:pStyle w:val="ListParagraph"/>
        <w:rPr>
          <w:b/>
          <w:u w:val="single"/>
        </w:rPr>
      </w:pPr>
    </w:p>
    <w:p w14:paraId="2F74EAE0" w14:textId="77777777" w:rsidR="00627AA8" w:rsidRPr="00627AA8" w:rsidRDefault="000537F9" w:rsidP="00627AA8">
      <w:pPr>
        <w:pStyle w:val="ListParagraph"/>
        <w:numPr>
          <w:ilvl w:val="0"/>
          <w:numId w:val="13"/>
        </w:numPr>
      </w:pPr>
      <w:r>
        <w:t>Counsel</w:t>
      </w:r>
      <w:r w:rsidR="00343A02">
        <w:t xml:space="preserve"> will take reasonable steps to ensure that all information exchanged between Counsel and Client or generated by Counsel in connection with its performance of services hereunder is made available solely to </w:t>
      </w:r>
      <w:r>
        <w:t>Counsel</w:t>
      </w:r>
      <w:r w:rsidR="00343A02">
        <w:t xml:space="preserve"> personnel who work directly on the </w:t>
      </w:r>
      <w:r w:rsidR="003564F0">
        <w:t xml:space="preserve">Subject </w:t>
      </w:r>
      <w:r w:rsidR="00343A02">
        <w:t>Matter</w:t>
      </w:r>
      <w:r w:rsidR="003564F0">
        <w:t>s</w:t>
      </w:r>
      <w:r w:rsidR="00343A02">
        <w:t>.</w:t>
      </w:r>
      <w:r w:rsidR="00C419B9">
        <w:t xml:space="preserve"> </w:t>
      </w:r>
    </w:p>
    <w:p w14:paraId="04065AD6" w14:textId="77777777" w:rsidR="00627AA8" w:rsidRDefault="00627AA8" w:rsidP="00627AA8"/>
    <w:p w14:paraId="02AD9D37" w14:textId="7A324194" w:rsidR="003479FE" w:rsidRPr="003D489A" w:rsidRDefault="003479FE" w:rsidP="00627AA8">
      <w:pPr>
        <w:pStyle w:val="ListParagraph"/>
        <w:numPr>
          <w:ilvl w:val="0"/>
          <w:numId w:val="13"/>
        </w:numPr>
      </w:pPr>
      <w:r>
        <w:t xml:space="preserve">Upon request, </w:t>
      </w:r>
      <w:r w:rsidR="000537F9">
        <w:t xml:space="preserve">Counsel </w:t>
      </w:r>
      <w:r>
        <w:t xml:space="preserve">will provide OAG with a copy of all applicable written materials prepared by </w:t>
      </w:r>
      <w:r w:rsidR="000537F9">
        <w:t>Counsel</w:t>
      </w:r>
      <w:r>
        <w:t xml:space="preserve"> in the performance of legal services hereunder.</w:t>
      </w:r>
    </w:p>
    <w:p w14:paraId="1147C46C" w14:textId="77777777" w:rsidR="00841E15" w:rsidRDefault="00841E15" w:rsidP="0055016D"/>
    <w:p w14:paraId="3FDE6FE3" w14:textId="77777777" w:rsidR="0055016D" w:rsidRDefault="0055016D" w:rsidP="0055016D"/>
    <w:p w14:paraId="53773B45" w14:textId="1A303C2F" w:rsidR="0055016D" w:rsidRDefault="0055016D" w:rsidP="0055016D">
      <w:pPr>
        <w:rPr>
          <w:b/>
          <w:u w:val="single"/>
        </w:rPr>
      </w:pPr>
      <w:r w:rsidRPr="0055016D">
        <w:rPr>
          <w:b/>
          <w:u w:val="single"/>
        </w:rPr>
        <w:t xml:space="preserve">POTENTIAL CONFLICTS OF INTEREST/TERMINATION OF </w:t>
      </w:r>
      <w:r w:rsidR="00400650">
        <w:rPr>
          <w:b/>
          <w:u w:val="single"/>
        </w:rPr>
        <w:t>ENGAGEMENT</w:t>
      </w:r>
    </w:p>
    <w:p w14:paraId="14383111" w14:textId="69595C06" w:rsidR="00F32CAA" w:rsidRDefault="00F32CAA" w:rsidP="0055016D"/>
    <w:p w14:paraId="5C80E37E" w14:textId="180C8B12" w:rsidR="00627AA8" w:rsidRDefault="000537F9" w:rsidP="0055016D">
      <w:pPr>
        <w:pStyle w:val="ListParagraph"/>
        <w:numPr>
          <w:ilvl w:val="0"/>
          <w:numId w:val="13"/>
        </w:numPr>
      </w:pPr>
      <w:r>
        <w:t xml:space="preserve">Counsel </w:t>
      </w:r>
      <w:r w:rsidR="00F32CAA">
        <w:t xml:space="preserve">shall take such measures as it deems necessary to ensure that </w:t>
      </w:r>
      <w:r w:rsidR="00400650">
        <w:t xml:space="preserve">its engagement </w:t>
      </w:r>
      <w:r w:rsidR="00F32CAA">
        <w:t xml:space="preserve">in connection with the </w:t>
      </w:r>
      <w:r w:rsidR="003564F0">
        <w:t xml:space="preserve">Subject </w:t>
      </w:r>
      <w:r w:rsidR="00F32CAA">
        <w:t>Matter</w:t>
      </w:r>
      <w:r w:rsidR="003564F0">
        <w:t>s</w:t>
      </w:r>
      <w:r w:rsidR="00F32CAA">
        <w:t xml:space="preserve"> does not give rise to any conflict with the interests</w:t>
      </w:r>
      <w:r w:rsidR="00F479CC">
        <w:t xml:space="preserve"> of New York University or</w:t>
      </w:r>
      <w:r w:rsidR="00F32CAA">
        <w:t xml:space="preserve"> of </w:t>
      </w:r>
      <w:r w:rsidR="00FF591B">
        <w:t>Counsel’s</w:t>
      </w:r>
      <w:r w:rsidR="00F32CAA">
        <w:t xml:space="preserve"> other clients, specifically including with respect to any matter, investigation, proceeding or litigation </w:t>
      </w:r>
      <w:r w:rsidR="00AC35C9">
        <w:t xml:space="preserve">that </w:t>
      </w:r>
      <w:r w:rsidR="00F479CC">
        <w:t xml:space="preserve">New York University or </w:t>
      </w:r>
      <w:r w:rsidR="00F32CAA">
        <w:t xml:space="preserve">any </w:t>
      </w:r>
      <w:r w:rsidR="00FF591B">
        <w:t>of Counsel’s</w:t>
      </w:r>
      <w:r w:rsidR="00F32CAA">
        <w:t xml:space="preserve"> other client</w:t>
      </w:r>
      <w:r w:rsidR="00FF591B">
        <w:t>s</w:t>
      </w:r>
      <w:r w:rsidR="00F32CAA">
        <w:t xml:space="preserve"> has with, before or against OAG.</w:t>
      </w:r>
      <w:r w:rsidR="004523ED">
        <w:t xml:space="preserve"> </w:t>
      </w:r>
    </w:p>
    <w:p w14:paraId="532AAC34" w14:textId="77777777" w:rsidR="00627AA8" w:rsidRDefault="00627AA8" w:rsidP="00627AA8">
      <w:pPr>
        <w:ind w:left="360"/>
      </w:pPr>
    </w:p>
    <w:p w14:paraId="1204BFE1" w14:textId="77777777" w:rsidR="00627AA8" w:rsidRDefault="0055016D" w:rsidP="0055016D">
      <w:pPr>
        <w:pStyle w:val="ListParagraph"/>
        <w:numPr>
          <w:ilvl w:val="0"/>
          <w:numId w:val="13"/>
        </w:numPr>
      </w:pPr>
      <w:r>
        <w:t xml:space="preserve">Neither Client nor Counsel is aware of any disagreement or conflict between the Client and Counsel at this time, but both understand that disagreements or conflicts between the Client and Counsel may arise in the future and affect the </w:t>
      </w:r>
      <w:r w:rsidR="003564F0">
        <w:t xml:space="preserve">Subject </w:t>
      </w:r>
      <w:r w:rsidR="00F32CAA">
        <w:t>Matter</w:t>
      </w:r>
      <w:r w:rsidR="003564F0">
        <w:t>s</w:t>
      </w:r>
      <w:r>
        <w:t xml:space="preserve">. If such disagreements or conflicts occur and cannot be resolved with the continued assistance of Counsel, </w:t>
      </w:r>
      <w:r w:rsidR="004523ED">
        <w:t>Client</w:t>
      </w:r>
      <w:r>
        <w:t xml:space="preserve"> understand</w:t>
      </w:r>
      <w:r w:rsidR="004523ED">
        <w:t>s</w:t>
      </w:r>
      <w:r>
        <w:t xml:space="preserve"> that Counsel may have to withdraw from </w:t>
      </w:r>
      <w:r w:rsidR="00400650">
        <w:t>this engagement</w:t>
      </w:r>
      <w:r>
        <w:t xml:space="preserve">. </w:t>
      </w:r>
    </w:p>
    <w:p w14:paraId="064BE8C3" w14:textId="77777777" w:rsidR="00627AA8" w:rsidRDefault="00627AA8" w:rsidP="00627AA8"/>
    <w:p w14:paraId="4BC9D587" w14:textId="343FF0DB" w:rsidR="0055016D" w:rsidRDefault="00C419B9" w:rsidP="0055016D">
      <w:pPr>
        <w:pStyle w:val="ListParagraph"/>
        <w:numPr>
          <w:ilvl w:val="0"/>
          <w:numId w:val="13"/>
        </w:numPr>
      </w:pPr>
      <w:r>
        <w:t>Client and Counsel are</w:t>
      </w:r>
      <w:r w:rsidR="0055016D">
        <w:t xml:space="preserve"> free, at any time</w:t>
      </w:r>
      <w:r w:rsidR="003564F0">
        <w:t xml:space="preserve"> and with or without cause</w:t>
      </w:r>
      <w:r w:rsidR="0055016D">
        <w:t xml:space="preserve">, to end </w:t>
      </w:r>
      <w:r w:rsidR="00400650">
        <w:t>this engagement</w:t>
      </w:r>
      <w:r w:rsidR="0055016D">
        <w:t xml:space="preserve">.  </w:t>
      </w:r>
    </w:p>
    <w:p w14:paraId="6050640B" w14:textId="45BCBCB8" w:rsidR="004523ED" w:rsidRDefault="004523ED" w:rsidP="0055016D"/>
    <w:p w14:paraId="74A0CA96" w14:textId="2221CF16" w:rsidR="004523ED" w:rsidRDefault="004523ED" w:rsidP="0055016D">
      <w:pPr>
        <w:rPr>
          <w:b/>
          <w:u w:val="single"/>
        </w:rPr>
      </w:pPr>
      <w:r w:rsidRPr="004523ED">
        <w:rPr>
          <w:b/>
          <w:u w:val="single"/>
        </w:rPr>
        <w:t>COUNSEL’S ACKNOWLEDGMENTS</w:t>
      </w:r>
    </w:p>
    <w:p w14:paraId="0612425B" w14:textId="25AE013A" w:rsidR="004523ED" w:rsidRDefault="004523ED" w:rsidP="0055016D">
      <w:pPr>
        <w:rPr>
          <w:b/>
          <w:u w:val="single"/>
        </w:rPr>
      </w:pPr>
    </w:p>
    <w:p w14:paraId="422D5F64" w14:textId="77777777" w:rsidR="00627AA8" w:rsidRDefault="004523ED" w:rsidP="0055016D">
      <w:pPr>
        <w:pStyle w:val="ListParagraph"/>
        <w:numPr>
          <w:ilvl w:val="0"/>
          <w:numId w:val="13"/>
        </w:numPr>
      </w:pPr>
      <w:r>
        <w:t xml:space="preserve">In the performance of its services hereunder, </w:t>
      </w:r>
      <w:r w:rsidR="007852EF">
        <w:t xml:space="preserve">Counsel </w:t>
      </w:r>
      <w:r>
        <w:t xml:space="preserve">will comply with all applicable laws, rules and regulations pertaining to the rendering of such services, maintain all licenses required under applicable law, and </w:t>
      </w:r>
      <w:r w:rsidR="00D06DDF">
        <w:t xml:space="preserve">maintain adequate Professional Liability Insurance at its own cost. </w:t>
      </w:r>
    </w:p>
    <w:p w14:paraId="6BA27932" w14:textId="77777777" w:rsidR="00627AA8" w:rsidRDefault="00627AA8" w:rsidP="00627AA8">
      <w:pPr>
        <w:pStyle w:val="ListParagraph"/>
      </w:pPr>
    </w:p>
    <w:p w14:paraId="7AB909F0" w14:textId="0984ABBE" w:rsidR="00627AA8" w:rsidRDefault="007852EF" w:rsidP="0055016D">
      <w:pPr>
        <w:pStyle w:val="ListParagraph"/>
        <w:numPr>
          <w:ilvl w:val="0"/>
          <w:numId w:val="13"/>
        </w:numPr>
      </w:pPr>
      <w:r>
        <w:t>Counsel</w:t>
      </w:r>
      <w:r w:rsidR="00D06DDF">
        <w:t xml:space="preserve"> acknowledges that </w:t>
      </w:r>
      <w:r>
        <w:t>Counsel</w:t>
      </w:r>
      <w:r w:rsidR="00D06DDF">
        <w:t xml:space="preserve"> personnel</w:t>
      </w:r>
      <w:r w:rsidR="00C419B9">
        <w:t xml:space="preserve"> </w:t>
      </w:r>
      <w:r w:rsidR="00D06DDF">
        <w:t xml:space="preserve">working on the </w:t>
      </w:r>
      <w:r w:rsidR="003564F0">
        <w:t xml:space="preserve">Subject </w:t>
      </w:r>
      <w:r w:rsidR="00D06DDF">
        <w:t>Matter</w:t>
      </w:r>
      <w:r w:rsidR="003564F0">
        <w:t>s</w:t>
      </w:r>
      <w:r w:rsidR="00C419B9">
        <w:t xml:space="preserve"> </w:t>
      </w:r>
      <w:r w:rsidR="00D06DDF">
        <w:t xml:space="preserve">are not considered state employees and will not be entitled to protections </w:t>
      </w:r>
      <w:r w:rsidR="00311F9C">
        <w:t xml:space="preserve">afforded state employees under </w:t>
      </w:r>
      <w:r w:rsidR="00627AA8">
        <w:t>[INSERT APPLICABLE STATE LAW]</w:t>
      </w:r>
      <w:r w:rsidR="00311F9C">
        <w:t>.</w:t>
      </w:r>
    </w:p>
    <w:p w14:paraId="6CDEACB2" w14:textId="77777777" w:rsidR="00627AA8" w:rsidRDefault="00627AA8" w:rsidP="00627AA8"/>
    <w:p w14:paraId="49823143" w14:textId="77777777" w:rsidR="00627AA8" w:rsidRDefault="007852EF" w:rsidP="0055016D">
      <w:pPr>
        <w:pStyle w:val="ListParagraph"/>
        <w:numPr>
          <w:ilvl w:val="0"/>
          <w:numId w:val="13"/>
        </w:numPr>
      </w:pPr>
      <w:r>
        <w:t>Counsel</w:t>
      </w:r>
      <w:r w:rsidR="002C6277">
        <w:t xml:space="preserve"> acknowledges that (a) in addition to whatever supervision </w:t>
      </w:r>
      <w:r>
        <w:t>Counsel</w:t>
      </w:r>
      <w:r w:rsidR="002C6277">
        <w:t xml:space="preserve"> performs over the services it provides hereunder, its work on the Subject Matters will be subject to supervision and direction by OAG, through a designated OAG attorney, and (b) OAG shall at all times retain </w:t>
      </w:r>
      <w:r w:rsidR="008E1585">
        <w:t>discretionary decision-making authority in connection with any proceeding or litigation concerning or arising from the Subject Matters, including with respect to (</w:t>
      </w:r>
      <w:proofErr w:type="spellStart"/>
      <w:r w:rsidR="008E1585">
        <w:t>i</w:t>
      </w:r>
      <w:proofErr w:type="spellEnd"/>
      <w:r w:rsidR="008E1585">
        <w:t>) selecting</w:t>
      </w:r>
      <w:r w:rsidR="00627AA8">
        <w:t xml:space="preserve"> and retaining expert witnesses;</w:t>
      </w:r>
      <w:r w:rsidR="008E1585">
        <w:t xml:space="preserve"> (ii) filin</w:t>
      </w:r>
      <w:r w:rsidR="00627AA8">
        <w:t>g motions or other court papers;</w:t>
      </w:r>
      <w:r w:rsidR="008E1585">
        <w:t xml:space="preserve"> and (iii) proposing, negotiating, or agreeing to settlement. </w:t>
      </w:r>
    </w:p>
    <w:p w14:paraId="3F3FC540" w14:textId="77777777" w:rsidR="00627AA8" w:rsidRPr="00627AA8" w:rsidRDefault="00627AA8" w:rsidP="00627AA8">
      <w:pPr>
        <w:rPr>
          <w:noProof/>
          <w:color w:val="000000" w:themeColor="text1"/>
        </w:rPr>
      </w:pPr>
    </w:p>
    <w:p w14:paraId="10E5DA5E" w14:textId="77777777" w:rsidR="00627AA8" w:rsidRPr="00627AA8" w:rsidRDefault="00627AA8" w:rsidP="00BF6659">
      <w:pPr>
        <w:pStyle w:val="ListParagraph"/>
        <w:numPr>
          <w:ilvl w:val="0"/>
          <w:numId w:val="13"/>
        </w:numPr>
      </w:pPr>
      <w:r>
        <w:rPr>
          <w:noProof/>
          <w:color w:val="000000" w:themeColor="text1"/>
        </w:rPr>
        <w:t>The</w:t>
      </w:r>
      <w:r w:rsidR="00B20028" w:rsidRPr="00627AA8">
        <w:rPr>
          <w:noProof/>
          <w:color w:val="000000" w:themeColor="text1"/>
        </w:rPr>
        <w:t xml:space="preserve"> </w:t>
      </w:r>
      <w:r w:rsidR="00193BEE" w:rsidRPr="00627AA8">
        <w:rPr>
          <w:noProof/>
          <w:color w:val="000000" w:themeColor="text1"/>
        </w:rPr>
        <w:t xml:space="preserve">OAG </w:t>
      </w:r>
      <w:r w:rsidR="00B20028" w:rsidRPr="00627AA8">
        <w:rPr>
          <w:noProof/>
          <w:color w:val="000000" w:themeColor="text1"/>
        </w:rPr>
        <w:t xml:space="preserve">shall have no liability under this contract to </w:t>
      </w:r>
      <w:r w:rsidR="007852EF" w:rsidRPr="00627AA8">
        <w:rPr>
          <w:noProof/>
          <w:color w:val="000000" w:themeColor="text1"/>
        </w:rPr>
        <w:t>Counsel</w:t>
      </w:r>
      <w:r w:rsidR="00C37A24" w:rsidRPr="00627AA8">
        <w:rPr>
          <w:noProof/>
          <w:color w:val="000000" w:themeColor="text1"/>
        </w:rPr>
        <w:t xml:space="preserve"> </w:t>
      </w:r>
      <w:r w:rsidR="00B20028" w:rsidRPr="00627AA8">
        <w:rPr>
          <w:noProof/>
          <w:color w:val="000000" w:themeColor="text1"/>
        </w:rPr>
        <w:t>or to anyone else</w:t>
      </w:r>
      <w:r w:rsidR="00193BEE" w:rsidRPr="00627AA8">
        <w:rPr>
          <w:noProof/>
          <w:color w:val="000000" w:themeColor="text1"/>
        </w:rPr>
        <w:t>.</w:t>
      </w:r>
    </w:p>
    <w:p w14:paraId="0A36F9C4" w14:textId="77777777" w:rsidR="00627AA8" w:rsidRDefault="00627AA8" w:rsidP="00627AA8"/>
    <w:p w14:paraId="452DBBCE" w14:textId="048734EE" w:rsidR="001157BE" w:rsidRDefault="00C419B9" w:rsidP="00BF6659">
      <w:pPr>
        <w:pStyle w:val="ListParagraph"/>
        <w:numPr>
          <w:ilvl w:val="0"/>
          <w:numId w:val="13"/>
        </w:numPr>
      </w:pPr>
      <w:r>
        <w:lastRenderedPageBreak/>
        <w:t>Any o</w:t>
      </w:r>
      <w:r w:rsidR="001157BE">
        <w:t xml:space="preserve">pinions prepared by </w:t>
      </w:r>
      <w:r w:rsidR="007852EF">
        <w:t>Counsel</w:t>
      </w:r>
      <w:r w:rsidR="001157BE">
        <w:t xml:space="preserve"> do not constitute </w:t>
      </w:r>
      <w:r>
        <w:t xml:space="preserve">official </w:t>
      </w:r>
      <w:r w:rsidR="001157BE">
        <w:t>opinion</w:t>
      </w:r>
      <w:r>
        <w:t>s</w:t>
      </w:r>
      <w:r w:rsidR="001157BE">
        <w:t xml:space="preserve"> of the </w:t>
      </w:r>
      <w:r>
        <w:t xml:space="preserve">Attorney General </w:t>
      </w:r>
      <w:r w:rsidR="001157BE">
        <w:t xml:space="preserve">unless the prior written approval of the Attorney General is obtained. </w:t>
      </w:r>
    </w:p>
    <w:p w14:paraId="77C7597A" w14:textId="77777777" w:rsidR="001157BE" w:rsidRPr="004523ED" w:rsidRDefault="001157BE" w:rsidP="0055016D"/>
    <w:p w14:paraId="191184A5" w14:textId="77777777" w:rsidR="0055016D" w:rsidRDefault="0055016D" w:rsidP="0055016D"/>
    <w:p w14:paraId="501A774C" w14:textId="77777777" w:rsidR="0055016D" w:rsidRDefault="0055016D" w:rsidP="0055016D">
      <w:pPr>
        <w:rPr>
          <w:b/>
          <w:u w:val="single"/>
        </w:rPr>
      </w:pPr>
      <w:r w:rsidRPr="0055016D">
        <w:rPr>
          <w:b/>
          <w:u w:val="single"/>
        </w:rPr>
        <w:t>GOVERNING LAW &amp; MODIFICATION</w:t>
      </w:r>
    </w:p>
    <w:p w14:paraId="225F71C8" w14:textId="77777777" w:rsidR="0055016D" w:rsidRPr="0055016D" w:rsidRDefault="0055016D" w:rsidP="0055016D">
      <w:pPr>
        <w:rPr>
          <w:b/>
          <w:u w:val="single"/>
        </w:rPr>
      </w:pPr>
    </w:p>
    <w:p w14:paraId="57B96550" w14:textId="77777777" w:rsidR="00627AA8" w:rsidRDefault="0055016D" w:rsidP="0055016D">
      <w:pPr>
        <w:pStyle w:val="ListParagraph"/>
        <w:numPr>
          <w:ilvl w:val="0"/>
          <w:numId w:val="13"/>
        </w:numPr>
        <w:rPr>
          <w:snapToGrid w:val="0"/>
        </w:rPr>
      </w:pPr>
      <w:r>
        <w:t xml:space="preserve">This Agreement is governed by the law of the State of </w:t>
      </w:r>
      <w:r w:rsidR="009D63B6">
        <w:t>New York</w:t>
      </w:r>
      <w:r>
        <w:t xml:space="preserve">, </w:t>
      </w:r>
      <w:r w:rsidR="00193BEE">
        <w:t xml:space="preserve">without regard for New York’s choice of law statute.  </w:t>
      </w:r>
      <w:r w:rsidR="00193BEE" w:rsidRPr="00627AA8">
        <w:rPr>
          <w:snapToGrid w:val="0"/>
        </w:rPr>
        <w:t>The parties agree to bring any action to construe, interpret or enforce this Agreement in a Court of competent jurisdiction in the State of New York.</w:t>
      </w:r>
    </w:p>
    <w:p w14:paraId="3E59B7BF" w14:textId="77777777" w:rsidR="00627AA8" w:rsidRDefault="00627AA8" w:rsidP="00007600">
      <w:pPr>
        <w:pStyle w:val="ListParagraph"/>
        <w:rPr>
          <w:snapToGrid w:val="0"/>
        </w:rPr>
      </w:pPr>
    </w:p>
    <w:p w14:paraId="429CD0F6" w14:textId="7E70898C" w:rsidR="0055016D" w:rsidRPr="00627AA8" w:rsidRDefault="00193BEE" w:rsidP="0055016D">
      <w:pPr>
        <w:pStyle w:val="ListParagraph"/>
        <w:numPr>
          <w:ilvl w:val="0"/>
          <w:numId w:val="13"/>
        </w:numPr>
        <w:rPr>
          <w:snapToGrid w:val="0"/>
        </w:rPr>
      </w:pPr>
      <w:r>
        <w:t xml:space="preserve">This Agreement </w:t>
      </w:r>
      <w:r w:rsidR="0055016D">
        <w:t xml:space="preserve">represents the parties’ entire agreement pertaining to fees and costs in relation to the </w:t>
      </w:r>
      <w:r w:rsidR="002C6277">
        <w:t xml:space="preserve">Subject </w:t>
      </w:r>
      <w:r w:rsidR="00311F9C">
        <w:t>Matter</w:t>
      </w:r>
      <w:r w:rsidR="002C6277">
        <w:t>s</w:t>
      </w:r>
      <w:r w:rsidR="0055016D">
        <w:t xml:space="preserve">, and may not be amended or modified except in writing, signed by all parties. This Agreement is binding on </w:t>
      </w:r>
      <w:r w:rsidR="00311F9C">
        <w:t>Client</w:t>
      </w:r>
      <w:r w:rsidR="0055016D">
        <w:t xml:space="preserve"> and on Counsel and the respective successors in interest of each</w:t>
      </w:r>
      <w:r>
        <w:t xml:space="preserve">. This Agreement may not be assigned by Counsel without the OAG’s prior written consent. </w:t>
      </w:r>
    </w:p>
    <w:p w14:paraId="150935E7" w14:textId="77777777" w:rsidR="0055016D" w:rsidRDefault="0055016D" w:rsidP="0055016D"/>
    <w:p w14:paraId="1D658BCD" w14:textId="77777777" w:rsidR="0055016D" w:rsidRDefault="0055016D" w:rsidP="0055016D">
      <w:pPr>
        <w:rPr>
          <w:b/>
          <w:u w:val="single"/>
        </w:rPr>
      </w:pPr>
      <w:r w:rsidRPr="0055016D">
        <w:rPr>
          <w:b/>
          <w:u w:val="single"/>
        </w:rPr>
        <w:t>SEVERABILITY</w:t>
      </w:r>
    </w:p>
    <w:p w14:paraId="5BB109BE" w14:textId="77777777" w:rsidR="008D237A" w:rsidRPr="0055016D" w:rsidRDefault="008D237A" w:rsidP="0055016D">
      <w:pPr>
        <w:rPr>
          <w:b/>
          <w:u w:val="single"/>
        </w:rPr>
      </w:pPr>
    </w:p>
    <w:p w14:paraId="31CFA8CC" w14:textId="2FB1629C" w:rsidR="0055016D" w:rsidRDefault="0055016D" w:rsidP="00007600">
      <w:pPr>
        <w:pStyle w:val="ListParagraph"/>
        <w:numPr>
          <w:ilvl w:val="0"/>
          <w:numId w:val="13"/>
        </w:numPr>
      </w:pPr>
      <w:r>
        <w:t>If any clause of this agreement is found by a Court of competent jurisdiction to be void or unenforceable, then, in that event, such clause shall be severed and the rest and remainder of the agreement shall remain in force and effect such as to best reflect the intentions of the parties as indicated solely by this document.</w:t>
      </w:r>
    </w:p>
    <w:p w14:paraId="71508334" w14:textId="526D07E0" w:rsidR="002C6277" w:rsidRDefault="002C6277" w:rsidP="0055016D"/>
    <w:p w14:paraId="2DFD6DAF" w14:textId="77777777" w:rsidR="0055016D" w:rsidRDefault="0055016D" w:rsidP="0055016D">
      <w:pPr>
        <w:rPr>
          <w:b/>
          <w:u w:val="single"/>
        </w:rPr>
      </w:pPr>
      <w:r w:rsidRPr="0055016D">
        <w:rPr>
          <w:b/>
          <w:u w:val="single"/>
        </w:rPr>
        <w:t>EFFECTIVE DATE</w:t>
      </w:r>
    </w:p>
    <w:p w14:paraId="6E65A8BD" w14:textId="77777777" w:rsidR="0055016D" w:rsidRPr="0055016D" w:rsidRDefault="0055016D" w:rsidP="0055016D">
      <w:pPr>
        <w:rPr>
          <w:b/>
          <w:u w:val="single"/>
        </w:rPr>
      </w:pPr>
    </w:p>
    <w:p w14:paraId="4D075684" w14:textId="52063E0A" w:rsidR="0055016D" w:rsidRDefault="0055016D" w:rsidP="00007600">
      <w:pPr>
        <w:pStyle w:val="ListParagraph"/>
        <w:numPr>
          <w:ilvl w:val="0"/>
          <w:numId w:val="13"/>
        </w:numPr>
      </w:pPr>
      <w:r>
        <w:t xml:space="preserve">This agreement shall be effective as of </w:t>
      </w:r>
      <w:r w:rsidR="00007600">
        <w:t>[INSERT DATE]</w:t>
      </w:r>
      <w:r w:rsidR="008813FA">
        <w:t xml:space="preserve">, and shall terminate </w:t>
      </w:r>
      <w:r w:rsidR="0005569C">
        <w:t>on July 31, 2019</w:t>
      </w:r>
      <w:r w:rsidR="008813FA">
        <w:t>, unless earlier terminated as provided herein or extended upon the mutual written consent of the parties</w:t>
      </w:r>
      <w:r>
        <w:t>.  It may be executed in counterparts and all the counterparts together shall constitute a single agreement.</w:t>
      </w:r>
    </w:p>
    <w:p w14:paraId="7608201B" w14:textId="77777777" w:rsidR="00311F9C" w:rsidRDefault="00311F9C" w:rsidP="0055016D"/>
    <w:p w14:paraId="2D8EE989" w14:textId="77777777" w:rsidR="0055016D" w:rsidRDefault="0055016D" w:rsidP="0055016D"/>
    <w:p w14:paraId="5EA1EF9B" w14:textId="77777777" w:rsidR="0055016D" w:rsidRPr="0055016D" w:rsidRDefault="0055016D" w:rsidP="0055016D">
      <w:pPr>
        <w:rPr>
          <w:b/>
          <w:u w:val="single"/>
        </w:rPr>
      </w:pPr>
      <w:r w:rsidRPr="0055016D">
        <w:rPr>
          <w:b/>
          <w:u w:val="single"/>
        </w:rPr>
        <w:t xml:space="preserve">CLIENT’S ACKNOWLEDGMENTS </w:t>
      </w:r>
    </w:p>
    <w:p w14:paraId="0571E80D" w14:textId="77777777" w:rsidR="0055016D" w:rsidRDefault="0055016D" w:rsidP="0055016D"/>
    <w:p w14:paraId="31ECECEF" w14:textId="510FD004" w:rsidR="00D006A6" w:rsidRDefault="0055016D" w:rsidP="00007600">
      <w:pPr>
        <w:pStyle w:val="ListParagraph"/>
        <w:numPr>
          <w:ilvl w:val="0"/>
          <w:numId w:val="13"/>
        </w:numPr>
      </w:pPr>
      <w:r>
        <w:t xml:space="preserve">Client acknowledges that Client has fully read, understands, and freely enters into this agreement and that Client has received a copy of this agreement. </w:t>
      </w:r>
    </w:p>
    <w:p w14:paraId="6E1505B1" w14:textId="1754A652" w:rsidR="00C20A1E" w:rsidRDefault="00C20A1E" w:rsidP="00C20A1E"/>
    <w:p w14:paraId="37885C00" w14:textId="72E1CC12" w:rsidR="00C20A1E" w:rsidRDefault="00C20A1E" w:rsidP="00007600">
      <w:pPr>
        <w:pStyle w:val="ListParagraph"/>
        <w:numPr>
          <w:ilvl w:val="0"/>
          <w:numId w:val="13"/>
        </w:numPr>
      </w:pPr>
      <w:r>
        <w:t xml:space="preserve">Client acknowledges that New York University is a not-for-profit education corporation and that the furnishing of legal services by Counsel is incidental to New York University’s purposes. Client consents to the compensation of Counsel by New York University. </w:t>
      </w:r>
    </w:p>
    <w:p w14:paraId="4EB75408" w14:textId="7E360382" w:rsidR="00FC3965" w:rsidRDefault="00FC3965" w:rsidP="00FC3965"/>
    <w:p w14:paraId="61E231D9" w14:textId="3E848A37" w:rsidR="0055016D" w:rsidRDefault="0055016D" w:rsidP="0055016D"/>
    <w:p w14:paraId="3D9F4705" w14:textId="7F527033" w:rsidR="0055016D" w:rsidRDefault="0055016D" w:rsidP="0055016D"/>
    <w:p w14:paraId="18A754E2" w14:textId="2D840547" w:rsidR="00C16A89" w:rsidRDefault="00C16A89" w:rsidP="0055016D"/>
    <w:p w14:paraId="3CCB37DB" w14:textId="3D4F207A" w:rsidR="00C16A89" w:rsidRDefault="00C16A89" w:rsidP="0055016D"/>
    <w:p w14:paraId="1F9DB367" w14:textId="091E281B" w:rsidR="00C16A89" w:rsidRDefault="00C16A89" w:rsidP="0055016D"/>
    <w:p w14:paraId="64F53E84" w14:textId="5551271C" w:rsidR="00C16A89" w:rsidRDefault="00C16A89" w:rsidP="0055016D"/>
    <w:p w14:paraId="255631D8" w14:textId="2666E235" w:rsidR="00C16A89" w:rsidRDefault="00C16A89" w:rsidP="0055016D"/>
    <w:p w14:paraId="5400BFA1" w14:textId="717A8826" w:rsidR="00C16A89" w:rsidRDefault="00C16A89" w:rsidP="0055016D"/>
    <w:p w14:paraId="04C60ABA" w14:textId="0FB27126" w:rsidR="00C16A89" w:rsidRDefault="00C16A89" w:rsidP="0055016D"/>
    <w:p w14:paraId="4BAB89F5" w14:textId="77777777" w:rsidR="00C16A89" w:rsidRDefault="00C16A89" w:rsidP="005501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5760"/>
      </w:tblGrid>
      <w:tr w:rsidR="00007600" w:rsidRPr="00007600" w14:paraId="3A520D10" w14:textId="77777777" w:rsidTr="00E13BCC">
        <w:trPr>
          <w:cantSplit/>
        </w:trPr>
        <w:tc>
          <w:tcPr>
            <w:tcW w:w="3325" w:type="dxa"/>
            <w:hideMark/>
          </w:tcPr>
          <w:p w14:paraId="41797602" w14:textId="5FC27E73" w:rsidR="00007600" w:rsidRPr="00007600" w:rsidRDefault="00007600" w:rsidP="00007600">
            <w:r w:rsidRPr="00007600">
              <w:lastRenderedPageBreak/>
              <w:t xml:space="preserve">Dated: </w:t>
            </w:r>
            <w:r>
              <w:t>[INSERT DATE]</w:t>
            </w:r>
            <w:r w:rsidRPr="00007600">
              <w:t>, 2017</w:t>
            </w:r>
          </w:p>
        </w:tc>
        <w:tc>
          <w:tcPr>
            <w:tcW w:w="5760" w:type="dxa"/>
          </w:tcPr>
          <w:p w14:paraId="6BB0F521" w14:textId="77777777" w:rsidR="00007600" w:rsidRPr="00007600" w:rsidRDefault="00007600" w:rsidP="00007600">
            <w:r w:rsidRPr="00007600">
              <w:t>State Energy &amp; Environmental Impact Center</w:t>
            </w:r>
          </w:p>
          <w:p w14:paraId="7EB8DAFC" w14:textId="77777777" w:rsidR="00007600" w:rsidRPr="00007600" w:rsidRDefault="00007600" w:rsidP="00007600">
            <w:r w:rsidRPr="00007600">
              <w:t>New York University School of Law</w:t>
            </w:r>
          </w:p>
          <w:p w14:paraId="14B5FA3F" w14:textId="77777777" w:rsidR="00007600" w:rsidRPr="00007600" w:rsidRDefault="00007600" w:rsidP="00007600"/>
          <w:p w14:paraId="244E10BD" w14:textId="77777777" w:rsidR="00007600" w:rsidRPr="00007600" w:rsidRDefault="00007600" w:rsidP="00007600"/>
          <w:p w14:paraId="61E4F1EF" w14:textId="77777777" w:rsidR="00007600" w:rsidRPr="00007600" w:rsidRDefault="00007600" w:rsidP="00007600">
            <w:r w:rsidRPr="00007600">
              <w:t xml:space="preserve">By:       _____________________________ </w:t>
            </w:r>
          </w:p>
          <w:p w14:paraId="27223E69" w14:textId="77777777" w:rsidR="00007600" w:rsidRPr="00007600" w:rsidRDefault="00007600" w:rsidP="00007600">
            <w:r w:rsidRPr="00007600">
              <w:t>David J. Hayes </w:t>
            </w:r>
          </w:p>
          <w:p w14:paraId="67C0FACA" w14:textId="77777777" w:rsidR="00007600" w:rsidRPr="00007600" w:rsidRDefault="00007600" w:rsidP="00007600">
            <w:r w:rsidRPr="00007600">
              <w:t>Executive Director </w:t>
            </w:r>
          </w:p>
          <w:p w14:paraId="7161FD82" w14:textId="77777777" w:rsidR="00007600" w:rsidRPr="00007600" w:rsidRDefault="00007600" w:rsidP="00007600">
            <w:r w:rsidRPr="00007600">
              <w:t>State Energy &amp; Environmental Impact Center </w:t>
            </w:r>
          </w:p>
          <w:p w14:paraId="5747542B" w14:textId="77777777" w:rsidR="00007600" w:rsidRPr="00007600" w:rsidRDefault="00007600" w:rsidP="00007600">
            <w:r w:rsidRPr="00007600">
              <w:t>NYU School of Law </w:t>
            </w:r>
          </w:p>
          <w:p w14:paraId="6674DDD8" w14:textId="77777777" w:rsidR="00007600" w:rsidRPr="00007600" w:rsidRDefault="00007600" w:rsidP="00007600">
            <w:r w:rsidRPr="00007600">
              <w:t>c/o Resources for the Future </w:t>
            </w:r>
          </w:p>
          <w:p w14:paraId="2C6F9AB6" w14:textId="77777777" w:rsidR="00007600" w:rsidRPr="00007600" w:rsidRDefault="00007600" w:rsidP="00007600">
            <w:r w:rsidRPr="00007600">
              <w:t>1616 P Street NW </w:t>
            </w:r>
          </w:p>
          <w:p w14:paraId="508EF987" w14:textId="77777777" w:rsidR="00007600" w:rsidRPr="00007600" w:rsidRDefault="00007600" w:rsidP="00007600">
            <w:r w:rsidRPr="00007600">
              <w:t>Washington, DC 20036</w:t>
            </w:r>
          </w:p>
          <w:p w14:paraId="18079FD7" w14:textId="77777777" w:rsidR="00007600" w:rsidRPr="00007600" w:rsidRDefault="00007600" w:rsidP="00007600">
            <w:hyperlink r:id="rId9" w:tgtFrame="_blank" w:history="1">
              <w:r w:rsidRPr="00007600">
                <w:rPr>
                  <w:rStyle w:val="Hyperlink"/>
                </w:rPr>
                <w:t>202-328-5052</w:t>
              </w:r>
            </w:hyperlink>
          </w:p>
          <w:p w14:paraId="778BAEE1" w14:textId="77777777" w:rsidR="00007600" w:rsidRPr="00007600" w:rsidRDefault="00007600" w:rsidP="00007600">
            <w:hyperlink r:id="rId10" w:tgtFrame="_blank" w:history="1">
              <w:r w:rsidRPr="00007600">
                <w:rPr>
                  <w:rStyle w:val="Hyperlink"/>
                </w:rPr>
                <w:t>david.hayes@nyu.edu</w:t>
              </w:r>
            </w:hyperlink>
          </w:p>
          <w:p w14:paraId="44C0DB49" w14:textId="77777777" w:rsidR="00007600" w:rsidRPr="00007600" w:rsidRDefault="00007600" w:rsidP="00007600"/>
          <w:p w14:paraId="35A94893" w14:textId="77777777" w:rsidR="00007600" w:rsidRPr="00007600" w:rsidRDefault="00007600" w:rsidP="00007600"/>
        </w:tc>
      </w:tr>
      <w:tr w:rsidR="00007600" w:rsidRPr="00007600" w14:paraId="70B17704" w14:textId="77777777" w:rsidTr="00E13BCC">
        <w:trPr>
          <w:cantSplit/>
        </w:trPr>
        <w:tc>
          <w:tcPr>
            <w:tcW w:w="3325" w:type="dxa"/>
            <w:hideMark/>
          </w:tcPr>
          <w:p w14:paraId="78CBFA99" w14:textId="0173FB8A" w:rsidR="00007600" w:rsidRPr="00007600" w:rsidRDefault="00007600" w:rsidP="00007600">
            <w:r w:rsidRPr="00007600">
              <w:t xml:space="preserve">Dated: </w:t>
            </w:r>
            <w:r>
              <w:t>[INSERT DATE]</w:t>
            </w:r>
            <w:r w:rsidRPr="00007600">
              <w:t>, 2017</w:t>
            </w:r>
          </w:p>
        </w:tc>
        <w:tc>
          <w:tcPr>
            <w:tcW w:w="5760" w:type="dxa"/>
          </w:tcPr>
          <w:p w14:paraId="4459ACFA" w14:textId="76316983" w:rsidR="00007600" w:rsidRPr="00007600" w:rsidRDefault="00007600" w:rsidP="00007600">
            <w:r w:rsidRPr="00007600">
              <w:t xml:space="preserve">Office of the Attorney General </w:t>
            </w:r>
            <w:r>
              <w:t>[INSERT STATE]</w:t>
            </w:r>
          </w:p>
          <w:p w14:paraId="3F4DD427" w14:textId="77777777" w:rsidR="00007600" w:rsidRPr="00007600" w:rsidRDefault="00007600" w:rsidP="00007600"/>
          <w:p w14:paraId="27D0B423" w14:textId="77777777" w:rsidR="00007600" w:rsidRPr="00007600" w:rsidRDefault="00007600" w:rsidP="00007600"/>
          <w:p w14:paraId="0C9B5FA3" w14:textId="77777777" w:rsidR="00007600" w:rsidRPr="00007600" w:rsidRDefault="00007600" w:rsidP="00007600"/>
          <w:p w14:paraId="3FB0972E" w14:textId="77777777" w:rsidR="00007600" w:rsidRPr="00007600" w:rsidRDefault="00007600" w:rsidP="00007600">
            <w:r w:rsidRPr="00007600">
              <w:t xml:space="preserve">By:       _____________________________ </w:t>
            </w:r>
          </w:p>
          <w:p w14:paraId="09FAAC52" w14:textId="60A9B9D4" w:rsidR="00007600" w:rsidRPr="00007600" w:rsidRDefault="00007600" w:rsidP="00007600">
            <w:r w:rsidRPr="00007600">
              <w:t xml:space="preserve"> </w:t>
            </w:r>
          </w:p>
        </w:tc>
      </w:tr>
      <w:tr w:rsidR="00007600" w:rsidRPr="00007600" w14:paraId="37DE1C30" w14:textId="77777777" w:rsidTr="00007600">
        <w:trPr>
          <w:cantSplit/>
          <w:trHeight w:val="1836"/>
        </w:trPr>
        <w:tc>
          <w:tcPr>
            <w:tcW w:w="3325" w:type="dxa"/>
          </w:tcPr>
          <w:p w14:paraId="632FBB41" w14:textId="77777777" w:rsidR="00007600" w:rsidRPr="00007600" w:rsidRDefault="00007600" w:rsidP="00007600"/>
        </w:tc>
        <w:tc>
          <w:tcPr>
            <w:tcW w:w="5760" w:type="dxa"/>
          </w:tcPr>
          <w:p w14:paraId="707C53D8" w14:textId="55CAB1EB" w:rsidR="00007600" w:rsidRPr="00007600" w:rsidRDefault="00007600" w:rsidP="00007600">
            <w:r>
              <w:t>[INSERT STATE SIGNATORY]</w:t>
            </w:r>
          </w:p>
          <w:p w14:paraId="6CA96E24" w14:textId="77777777" w:rsidR="00007600" w:rsidRPr="00007600" w:rsidRDefault="00007600" w:rsidP="00007600"/>
          <w:p w14:paraId="3AF351D7" w14:textId="77777777" w:rsidR="00007600" w:rsidRPr="00007600" w:rsidRDefault="00007600" w:rsidP="00007600"/>
          <w:p w14:paraId="23977B33" w14:textId="77777777" w:rsidR="00007600" w:rsidRPr="00007600" w:rsidRDefault="00007600" w:rsidP="00007600"/>
          <w:p w14:paraId="055E220E" w14:textId="77777777" w:rsidR="00007600" w:rsidRPr="00007600" w:rsidRDefault="00007600" w:rsidP="00007600"/>
          <w:p w14:paraId="074D345A" w14:textId="77777777" w:rsidR="00007600" w:rsidRPr="00007600" w:rsidRDefault="00007600" w:rsidP="00007600"/>
        </w:tc>
      </w:tr>
      <w:tr w:rsidR="00007600" w:rsidRPr="00007600" w14:paraId="7E6F8627" w14:textId="77777777" w:rsidTr="00E13BCC">
        <w:trPr>
          <w:cantSplit/>
        </w:trPr>
        <w:tc>
          <w:tcPr>
            <w:tcW w:w="3325" w:type="dxa"/>
          </w:tcPr>
          <w:p w14:paraId="5EEC3FD1" w14:textId="77777777" w:rsidR="00007600" w:rsidRPr="00007600" w:rsidRDefault="00007600" w:rsidP="00007600"/>
        </w:tc>
        <w:tc>
          <w:tcPr>
            <w:tcW w:w="5760" w:type="dxa"/>
          </w:tcPr>
          <w:p w14:paraId="285921B9" w14:textId="77777777" w:rsidR="00007600" w:rsidRPr="00007600" w:rsidRDefault="00007600" w:rsidP="00007600"/>
        </w:tc>
      </w:tr>
    </w:tbl>
    <w:p w14:paraId="0B4B9D36" w14:textId="6F56B415" w:rsidR="005810C3" w:rsidRDefault="005810C3" w:rsidP="0055016D"/>
    <w:p w14:paraId="627F1817" w14:textId="77777777" w:rsidR="0055016D" w:rsidRDefault="0055016D" w:rsidP="0055016D"/>
    <w:p w14:paraId="7ED5E000" w14:textId="001B810D" w:rsidR="00303F8C" w:rsidRPr="00745D25" w:rsidRDefault="007852EF" w:rsidP="002B4BCE">
      <w:r>
        <w:softHyphen/>
      </w:r>
      <w:r>
        <w:softHyphen/>
      </w:r>
      <w:r>
        <w:softHyphen/>
      </w:r>
      <w:r>
        <w:softHyphen/>
      </w:r>
      <w:r>
        <w:softHyphen/>
      </w:r>
      <w:r>
        <w:softHyphen/>
      </w:r>
      <w:r>
        <w:softHyphen/>
      </w:r>
      <w:r>
        <w:softHyphen/>
      </w:r>
      <w:r>
        <w:softHyphen/>
      </w:r>
      <w:r>
        <w:softHyphen/>
      </w:r>
      <w:r>
        <w:softHyphen/>
      </w:r>
      <w:r>
        <w:softHyphen/>
      </w:r>
      <w:r>
        <w:softHyphen/>
      </w:r>
    </w:p>
    <w:sectPr w:rsidR="00303F8C" w:rsidRPr="00745D25">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FA6B3" w14:textId="77777777" w:rsidR="00E50ADB" w:rsidRDefault="00E50ADB" w:rsidP="00F927EF">
      <w:pPr>
        <w:spacing w:line="240" w:lineRule="auto"/>
      </w:pPr>
      <w:r>
        <w:separator/>
      </w:r>
    </w:p>
  </w:endnote>
  <w:endnote w:type="continuationSeparator" w:id="0">
    <w:p w14:paraId="2F4086D8" w14:textId="77777777" w:rsidR="00E50ADB" w:rsidRDefault="00E50ADB" w:rsidP="00F927EF">
      <w:pPr>
        <w:spacing w:line="240" w:lineRule="auto"/>
      </w:pPr>
      <w:r>
        <w:continuationSeparator/>
      </w:r>
    </w:p>
  </w:endnote>
  <w:endnote w:type="continuationNotice" w:id="1">
    <w:p w14:paraId="63A1A215" w14:textId="77777777" w:rsidR="00E50ADB" w:rsidRDefault="00E50A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D41AE" w14:textId="77777777" w:rsidR="0033335E" w:rsidRPr="002B4BCE" w:rsidRDefault="0033335E" w:rsidP="00972CCF">
    <w:pPr>
      <w:pStyle w:val="Footer"/>
      <w:framePr w:wrap="none" w:vAnchor="text" w:hAnchor="margin" w:xAlign="right" w:y="1"/>
      <w:rPr>
        <w:rStyle w:val="PageNumber"/>
      </w:rPr>
    </w:pPr>
    <w:r w:rsidRPr="002B4BCE">
      <w:rPr>
        <w:rStyle w:val="PageNumber"/>
      </w:rPr>
      <w:fldChar w:fldCharType="begin"/>
    </w:r>
    <w:r w:rsidRPr="002B4BCE">
      <w:rPr>
        <w:rStyle w:val="PageNumber"/>
      </w:rPr>
      <w:instrText xml:space="preserve">PAGE  </w:instrText>
    </w:r>
    <w:r w:rsidRPr="002B4BCE">
      <w:rPr>
        <w:rStyle w:val="PageNumber"/>
      </w:rPr>
      <w:fldChar w:fldCharType="end"/>
    </w:r>
  </w:p>
  <w:p w14:paraId="66B3746E" w14:textId="77777777" w:rsidR="0033335E" w:rsidRPr="002B4BCE" w:rsidRDefault="0033335E" w:rsidP="00983B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9E28" w14:textId="426B10E5" w:rsidR="0033335E" w:rsidRPr="0044517F" w:rsidRDefault="00FF591B" w:rsidP="00863A7F">
    <w:pPr>
      <w:pStyle w:val="Footer"/>
    </w:pPr>
    <w:r w:rsidRPr="00FF591B">
      <w:rPr>
        <w:noProof/>
        <w:sz w:val="16"/>
      </w:rPr>
      <w:t>{00126919.2}</w:t>
    </w:r>
    <w:r w:rsidR="0044517F">
      <w:tab/>
    </w:r>
    <w:sdt>
      <w:sdtPr>
        <w:id w:val="-613367165"/>
        <w:docPartObj>
          <w:docPartGallery w:val="Page Numbers (Bottom of Page)"/>
          <w:docPartUnique/>
        </w:docPartObj>
      </w:sdtPr>
      <w:sdtEndPr/>
      <w:sdtContent>
        <w:sdt>
          <w:sdtPr>
            <w:id w:val="1728636285"/>
            <w:docPartObj>
              <w:docPartGallery w:val="Page Numbers (Top of Page)"/>
              <w:docPartUnique/>
            </w:docPartObj>
          </w:sdtPr>
          <w:sdtEndPr/>
          <w:sdtContent>
            <w:r w:rsidR="0033335E" w:rsidRPr="0044517F">
              <w:t xml:space="preserve">Page </w:t>
            </w:r>
            <w:r w:rsidR="0033335E" w:rsidRPr="0044517F">
              <w:rPr>
                <w:bCs/>
                <w:szCs w:val="24"/>
              </w:rPr>
              <w:fldChar w:fldCharType="begin"/>
            </w:r>
            <w:r w:rsidR="0033335E" w:rsidRPr="0044517F">
              <w:rPr>
                <w:bCs/>
              </w:rPr>
              <w:instrText xml:space="preserve"> PAGE </w:instrText>
            </w:r>
            <w:r w:rsidR="0033335E" w:rsidRPr="0044517F">
              <w:rPr>
                <w:bCs/>
                <w:szCs w:val="24"/>
              </w:rPr>
              <w:fldChar w:fldCharType="separate"/>
            </w:r>
            <w:r w:rsidR="00863A7F">
              <w:rPr>
                <w:bCs/>
                <w:noProof/>
              </w:rPr>
              <w:t>1</w:t>
            </w:r>
            <w:r w:rsidR="0033335E" w:rsidRPr="0044517F">
              <w:rPr>
                <w:bCs/>
                <w:szCs w:val="24"/>
              </w:rPr>
              <w:fldChar w:fldCharType="end"/>
            </w:r>
            <w:r w:rsidR="0033335E" w:rsidRPr="0044517F">
              <w:t xml:space="preserve"> of </w:t>
            </w:r>
            <w:r w:rsidR="0033335E" w:rsidRPr="0044517F">
              <w:rPr>
                <w:bCs/>
                <w:szCs w:val="24"/>
              </w:rPr>
              <w:fldChar w:fldCharType="begin"/>
            </w:r>
            <w:r w:rsidR="0033335E" w:rsidRPr="0044517F">
              <w:rPr>
                <w:bCs/>
              </w:rPr>
              <w:instrText xml:space="preserve"> NUMPAGES  </w:instrText>
            </w:r>
            <w:r w:rsidR="0033335E" w:rsidRPr="0044517F">
              <w:rPr>
                <w:bCs/>
                <w:szCs w:val="24"/>
              </w:rPr>
              <w:fldChar w:fldCharType="separate"/>
            </w:r>
            <w:r w:rsidR="00863A7F">
              <w:rPr>
                <w:bCs/>
                <w:noProof/>
              </w:rPr>
              <w:t>4</w:t>
            </w:r>
            <w:r w:rsidR="0033335E" w:rsidRPr="0044517F">
              <w:rPr>
                <w:bCs/>
                <w:szCs w:val="24"/>
              </w:rPr>
              <w:fldChar w:fldCharType="end"/>
            </w:r>
          </w:sdtContent>
        </w:sdt>
      </w:sdtContent>
    </w:sdt>
  </w:p>
  <w:p w14:paraId="15170DC0" w14:textId="5D8E0EDC" w:rsidR="0033335E" w:rsidRPr="0044517F" w:rsidRDefault="0033335E" w:rsidP="002B4B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1E19" w14:textId="77777777" w:rsidR="00E50ADB" w:rsidRDefault="00E50ADB" w:rsidP="00F927EF">
      <w:pPr>
        <w:spacing w:line="240" w:lineRule="auto"/>
        <w:rPr>
          <w:noProof/>
        </w:rPr>
      </w:pPr>
      <w:r>
        <w:rPr>
          <w:noProof/>
        </w:rPr>
        <w:separator/>
      </w:r>
    </w:p>
  </w:footnote>
  <w:footnote w:type="continuationSeparator" w:id="0">
    <w:p w14:paraId="573758C9" w14:textId="77777777" w:rsidR="00E50ADB" w:rsidRDefault="00E50ADB" w:rsidP="00F927EF">
      <w:pPr>
        <w:spacing w:line="240" w:lineRule="auto"/>
      </w:pPr>
      <w:r>
        <w:continuationSeparator/>
      </w:r>
    </w:p>
  </w:footnote>
  <w:footnote w:type="continuationNotice" w:id="1">
    <w:p w14:paraId="58C3DC91" w14:textId="77777777" w:rsidR="00E50ADB" w:rsidRDefault="00E50ADB">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1639" w14:textId="77777777" w:rsidR="0033335E" w:rsidRDefault="0033335E" w:rsidP="002B4BCE">
    <w:pPr>
      <w:rPr>
        <w:color w:val="FF0000"/>
      </w:rPr>
    </w:pPr>
    <w:r>
      <w:rPr>
        <w:color w:val="FF0000"/>
      </w:rPr>
      <w:t>ATTORNEY WORK PRODUCT</w:t>
    </w:r>
  </w:p>
  <w:p w14:paraId="44E0A410" w14:textId="4A6AAE63" w:rsidR="0033335E" w:rsidRDefault="003333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nsid w:val="01096A06"/>
    <w:multiLevelType w:val="hybridMultilevel"/>
    <w:tmpl w:val="8A9E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nsid w:val="254D3DBC"/>
    <w:multiLevelType w:val="hybridMultilevel"/>
    <w:tmpl w:val="17A8DD6E"/>
    <w:lvl w:ilvl="0" w:tplc="298AE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86A1B"/>
    <w:multiLevelType w:val="hybridMultilevel"/>
    <w:tmpl w:val="9E3A83EC"/>
    <w:lvl w:ilvl="0" w:tplc="0409000F">
      <w:start w:val="1"/>
      <w:numFmt w:val="decimal"/>
      <w:lvlText w:val="%1."/>
      <w:lvlJc w:val="left"/>
      <w:pPr>
        <w:ind w:left="720" w:hanging="360"/>
      </w:pPr>
    </w:lvl>
    <w:lvl w:ilvl="1" w:tplc="75BC157A">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205E53"/>
    <w:multiLevelType w:val="hybridMultilevel"/>
    <w:tmpl w:val="D0140A8E"/>
    <w:lvl w:ilvl="0" w:tplc="298AE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60CE0"/>
    <w:multiLevelType w:val="hybridMultilevel"/>
    <w:tmpl w:val="42CE319C"/>
    <w:lvl w:ilvl="0" w:tplc="298AE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341FE"/>
    <w:multiLevelType w:val="hybridMultilevel"/>
    <w:tmpl w:val="F8F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C3D35"/>
    <w:multiLevelType w:val="hybridMultilevel"/>
    <w:tmpl w:val="B6BCBF68"/>
    <w:lvl w:ilvl="0" w:tplc="298AE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665E92"/>
    <w:multiLevelType w:val="hybridMultilevel"/>
    <w:tmpl w:val="92B6DBD0"/>
    <w:lvl w:ilvl="0" w:tplc="298AE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C58E8"/>
    <w:multiLevelType w:val="hybridMultilevel"/>
    <w:tmpl w:val="243ED27E"/>
    <w:lvl w:ilvl="0" w:tplc="298AE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E5B83"/>
    <w:multiLevelType w:val="hybridMultilevel"/>
    <w:tmpl w:val="ACA835C8"/>
    <w:lvl w:ilvl="0" w:tplc="20A23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1"/>
  </w:num>
  <w:num w:numId="15">
    <w:abstractNumId w:val="1"/>
  </w:num>
  <w:num w:numId="16">
    <w:abstractNumId w:val="7"/>
  </w:num>
  <w:num w:numId="17">
    <w:abstractNumId w:val="3"/>
  </w:num>
  <w:num w:numId="18">
    <w:abstractNumId w:val="10"/>
  </w:num>
  <w:num w:numId="19">
    <w:abstractNumId w:val="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6D"/>
    <w:rsid w:val="00007600"/>
    <w:rsid w:val="00010119"/>
    <w:rsid w:val="0002202F"/>
    <w:rsid w:val="00022DC2"/>
    <w:rsid w:val="00030175"/>
    <w:rsid w:val="000537F9"/>
    <w:rsid w:val="0005569C"/>
    <w:rsid w:val="000E7154"/>
    <w:rsid w:val="000F20B5"/>
    <w:rsid w:val="001157BE"/>
    <w:rsid w:val="001846DC"/>
    <w:rsid w:val="00187840"/>
    <w:rsid w:val="00193BEE"/>
    <w:rsid w:val="001A0DCB"/>
    <w:rsid w:val="001B32BD"/>
    <w:rsid w:val="001E2157"/>
    <w:rsid w:val="001E761D"/>
    <w:rsid w:val="001F3619"/>
    <w:rsid w:val="00215738"/>
    <w:rsid w:val="00233310"/>
    <w:rsid w:val="002423AC"/>
    <w:rsid w:val="002A0FAF"/>
    <w:rsid w:val="002B4BCE"/>
    <w:rsid w:val="002C6277"/>
    <w:rsid w:val="002F29DE"/>
    <w:rsid w:val="00303F8C"/>
    <w:rsid w:val="00307A88"/>
    <w:rsid w:val="00311F9C"/>
    <w:rsid w:val="003177FB"/>
    <w:rsid w:val="0033335E"/>
    <w:rsid w:val="00343A02"/>
    <w:rsid w:val="003479FE"/>
    <w:rsid w:val="003564F0"/>
    <w:rsid w:val="003A064E"/>
    <w:rsid w:val="003A7507"/>
    <w:rsid w:val="003D489A"/>
    <w:rsid w:val="003F54C3"/>
    <w:rsid w:val="00400650"/>
    <w:rsid w:val="0041006B"/>
    <w:rsid w:val="00410A79"/>
    <w:rsid w:val="00426CB9"/>
    <w:rsid w:val="0044517F"/>
    <w:rsid w:val="00451F9E"/>
    <w:rsid w:val="004523ED"/>
    <w:rsid w:val="00463899"/>
    <w:rsid w:val="004779DA"/>
    <w:rsid w:val="00481261"/>
    <w:rsid w:val="004A230C"/>
    <w:rsid w:val="004A79F8"/>
    <w:rsid w:val="004C38EB"/>
    <w:rsid w:val="004F692D"/>
    <w:rsid w:val="0055016D"/>
    <w:rsid w:val="005810C3"/>
    <w:rsid w:val="00591CB5"/>
    <w:rsid w:val="005A1C1A"/>
    <w:rsid w:val="005F5E40"/>
    <w:rsid w:val="005F7BBE"/>
    <w:rsid w:val="00627AA8"/>
    <w:rsid w:val="00651CBD"/>
    <w:rsid w:val="00675EAE"/>
    <w:rsid w:val="0068173C"/>
    <w:rsid w:val="006C05FF"/>
    <w:rsid w:val="006E6236"/>
    <w:rsid w:val="007457BA"/>
    <w:rsid w:val="00745D25"/>
    <w:rsid w:val="00747884"/>
    <w:rsid w:val="007852EF"/>
    <w:rsid w:val="007A6A4D"/>
    <w:rsid w:val="007C3044"/>
    <w:rsid w:val="007E69B3"/>
    <w:rsid w:val="00814923"/>
    <w:rsid w:val="008228BB"/>
    <w:rsid w:val="00841E15"/>
    <w:rsid w:val="00845BAD"/>
    <w:rsid w:val="0084664A"/>
    <w:rsid w:val="00850963"/>
    <w:rsid w:val="00863A7F"/>
    <w:rsid w:val="00872709"/>
    <w:rsid w:val="008813FA"/>
    <w:rsid w:val="00881B42"/>
    <w:rsid w:val="008B098D"/>
    <w:rsid w:val="008C307C"/>
    <w:rsid w:val="008D237A"/>
    <w:rsid w:val="008E07F5"/>
    <w:rsid w:val="008E1585"/>
    <w:rsid w:val="009327A8"/>
    <w:rsid w:val="00946204"/>
    <w:rsid w:val="00972CCF"/>
    <w:rsid w:val="00973201"/>
    <w:rsid w:val="00976393"/>
    <w:rsid w:val="0097729C"/>
    <w:rsid w:val="00983BDA"/>
    <w:rsid w:val="00984FFC"/>
    <w:rsid w:val="00993684"/>
    <w:rsid w:val="009B14E3"/>
    <w:rsid w:val="009C44BE"/>
    <w:rsid w:val="009D63B6"/>
    <w:rsid w:val="009F3705"/>
    <w:rsid w:val="00A2172D"/>
    <w:rsid w:val="00A53227"/>
    <w:rsid w:val="00A53C1E"/>
    <w:rsid w:val="00A622A2"/>
    <w:rsid w:val="00A80AB9"/>
    <w:rsid w:val="00A86FAC"/>
    <w:rsid w:val="00A92E23"/>
    <w:rsid w:val="00AC35C9"/>
    <w:rsid w:val="00AD1788"/>
    <w:rsid w:val="00B20028"/>
    <w:rsid w:val="00BA12F8"/>
    <w:rsid w:val="00BB13CD"/>
    <w:rsid w:val="00BF6659"/>
    <w:rsid w:val="00C03312"/>
    <w:rsid w:val="00C16A89"/>
    <w:rsid w:val="00C20A1E"/>
    <w:rsid w:val="00C37A24"/>
    <w:rsid w:val="00C419B9"/>
    <w:rsid w:val="00C45B8A"/>
    <w:rsid w:val="00C56E54"/>
    <w:rsid w:val="00CA0DD3"/>
    <w:rsid w:val="00CB4098"/>
    <w:rsid w:val="00D006A6"/>
    <w:rsid w:val="00D06DDF"/>
    <w:rsid w:val="00D30D91"/>
    <w:rsid w:val="00D76AB7"/>
    <w:rsid w:val="00DE5AB0"/>
    <w:rsid w:val="00E33019"/>
    <w:rsid w:val="00E50ADB"/>
    <w:rsid w:val="00E72676"/>
    <w:rsid w:val="00EC1870"/>
    <w:rsid w:val="00ED73F2"/>
    <w:rsid w:val="00EE24BB"/>
    <w:rsid w:val="00F32CAA"/>
    <w:rsid w:val="00F479CC"/>
    <w:rsid w:val="00F646F1"/>
    <w:rsid w:val="00F927EF"/>
    <w:rsid w:val="00FB4D3A"/>
    <w:rsid w:val="00FB5CE5"/>
    <w:rsid w:val="00FC052A"/>
    <w:rsid w:val="00FC3965"/>
    <w:rsid w:val="00FE476B"/>
    <w:rsid w:val="00FE583A"/>
    <w:rsid w:val="00FF1FC0"/>
    <w:rsid w:val="00FF59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43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2BD"/>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1B32BD"/>
    <w:pPr>
      <w:keepNext/>
      <w:numPr>
        <w:numId w:val="1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1B32BD"/>
    <w:pPr>
      <w:keepNext/>
      <w:numPr>
        <w:ilvl w:val="1"/>
        <w:numId w:val="1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1B32BD"/>
    <w:pPr>
      <w:numPr>
        <w:ilvl w:val="2"/>
      </w:numPr>
      <w:outlineLvl w:val="2"/>
    </w:pPr>
  </w:style>
  <w:style w:type="paragraph" w:styleId="Heading4">
    <w:name w:val="heading 4"/>
    <w:basedOn w:val="Heading3"/>
    <w:next w:val="BodyText"/>
    <w:link w:val="Heading4Char"/>
    <w:qFormat/>
    <w:rsid w:val="001B32BD"/>
    <w:pPr>
      <w:numPr>
        <w:ilvl w:val="3"/>
      </w:numPr>
      <w:outlineLvl w:val="3"/>
    </w:pPr>
  </w:style>
  <w:style w:type="paragraph" w:styleId="Heading5">
    <w:name w:val="heading 5"/>
    <w:basedOn w:val="Heading4"/>
    <w:next w:val="Normal"/>
    <w:link w:val="Heading5Char"/>
    <w:qFormat/>
    <w:rsid w:val="001B32BD"/>
    <w:pPr>
      <w:numPr>
        <w:ilvl w:val="4"/>
      </w:numPr>
      <w:outlineLvl w:val="4"/>
    </w:pPr>
  </w:style>
  <w:style w:type="paragraph" w:styleId="Heading6">
    <w:name w:val="heading 6"/>
    <w:basedOn w:val="Heading5"/>
    <w:next w:val="Normal"/>
    <w:link w:val="Heading6Char"/>
    <w:qFormat/>
    <w:rsid w:val="001B32BD"/>
    <w:pPr>
      <w:numPr>
        <w:ilvl w:val="5"/>
      </w:numPr>
      <w:outlineLvl w:val="5"/>
    </w:pPr>
  </w:style>
  <w:style w:type="paragraph" w:styleId="Heading7">
    <w:name w:val="heading 7"/>
    <w:basedOn w:val="Heading6"/>
    <w:next w:val="Normal"/>
    <w:link w:val="Heading7Char"/>
    <w:qFormat/>
    <w:rsid w:val="001B32BD"/>
    <w:pPr>
      <w:numPr>
        <w:ilvl w:val="6"/>
      </w:numPr>
      <w:outlineLvl w:val="6"/>
    </w:pPr>
  </w:style>
  <w:style w:type="paragraph" w:styleId="Heading8">
    <w:name w:val="heading 8"/>
    <w:basedOn w:val="Heading7"/>
    <w:next w:val="Normal"/>
    <w:link w:val="Heading8Char"/>
    <w:qFormat/>
    <w:rsid w:val="001B32BD"/>
    <w:pPr>
      <w:numPr>
        <w:ilvl w:val="7"/>
      </w:numPr>
      <w:outlineLvl w:val="7"/>
    </w:pPr>
  </w:style>
  <w:style w:type="paragraph" w:styleId="Heading9">
    <w:name w:val="heading 9"/>
    <w:basedOn w:val="Heading8"/>
    <w:next w:val="Normal"/>
    <w:link w:val="Heading9Char"/>
    <w:qFormat/>
    <w:rsid w:val="001B32B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BD"/>
    <w:pPr>
      <w:spacing w:before="120" w:after="120"/>
      <w:ind w:firstLine="720"/>
    </w:pPr>
    <w:rPr>
      <w:szCs w:val="20"/>
    </w:rPr>
  </w:style>
  <w:style w:type="character" w:customStyle="1" w:styleId="BodyTextChar">
    <w:name w:val="Body Text Char"/>
    <w:basedOn w:val="DefaultParagraphFont"/>
    <w:link w:val="BodyText"/>
    <w:rsid w:val="001B32BD"/>
    <w:rPr>
      <w:rFonts w:ascii="Times New Roman" w:eastAsia="Times New Roman" w:hAnsi="Times New Roman" w:cs="Times New Roman"/>
      <w:sz w:val="24"/>
      <w:szCs w:val="20"/>
    </w:rPr>
  </w:style>
  <w:style w:type="numbering" w:customStyle="1" w:styleId="CATTYList">
    <w:name w:val="CATTY List"/>
    <w:uiPriority w:val="99"/>
    <w:rsid w:val="001B32BD"/>
    <w:pPr>
      <w:numPr>
        <w:numId w:val="1"/>
      </w:numPr>
    </w:pPr>
  </w:style>
  <w:style w:type="paragraph" w:styleId="EnvelopeAddress">
    <w:name w:val="envelope address"/>
    <w:basedOn w:val="Normal"/>
    <w:semiHidden/>
    <w:rsid w:val="001B32BD"/>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1B32BD"/>
    <w:pPr>
      <w:tabs>
        <w:tab w:val="center" w:pos="4320"/>
        <w:tab w:val="right" w:pos="8640"/>
      </w:tabs>
    </w:pPr>
    <w:rPr>
      <w:szCs w:val="20"/>
    </w:rPr>
  </w:style>
  <w:style w:type="character" w:customStyle="1" w:styleId="FooterChar">
    <w:name w:val="Footer Char"/>
    <w:basedOn w:val="DefaultParagraphFont"/>
    <w:link w:val="Footer"/>
    <w:uiPriority w:val="99"/>
    <w:rsid w:val="001B32BD"/>
    <w:rPr>
      <w:rFonts w:ascii="Times New Roman" w:eastAsia="Times New Roman" w:hAnsi="Times New Roman" w:cs="Times New Roman"/>
      <w:sz w:val="24"/>
      <w:szCs w:val="20"/>
    </w:rPr>
  </w:style>
  <w:style w:type="character" w:styleId="FootnoteReference">
    <w:name w:val="footnote reference"/>
    <w:basedOn w:val="DefaultParagraphFont"/>
    <w:semiHidden/>
    <w:rsid w:val="001B32BD"/>
    <w:rPr>
      <w:vertAlign w:val="superscript"/>
    </w:rPr>
  </w:style>
  <w:style w:type="paragraph" w:styleId="FootnoteText">
    <w:name w:val="footnote text"/>
    <w:basedOn w:val="Normal"/>
    <w:link w:val="FootnoteTextChar"/>
    <w:semiHidden/>
    <w:rsid w:val="001B32BD"/>
    <w:rPr>
      <w:szCs w:val="20"/>
    </w:rPr>
  </w:style>
  <w:style w:type="character" w:customStyle="1" w:styleId="FootnoteTextChar">
    <w:name w:val="Footnote Text Char"/>
    <w:basedOn w:val="DefaultParagraphFont"/>
    <w:link w:val="FootnoteText"/>
    <w:semiHidden/>
    <w:rsid w:val="001B32BD"/>
    <w:rPr>
      <w:rFonts w:ascii="Times New Roman" w:eastAsia="Times New Roman" w:hAnsi="Times New Roman" w:cs="Times New Roman"/>
      <w:sz w:val="24"/>
      <w:szCs w:val="20"/>
    </w:rPr>
  </w:style>
  <w:style w:type="paragraph" w:styleId="Header">
    <w:name w:val="header"/>
    <w:basedOn w:val="Normal"/>
    <w:link w:val="HeaderChar"/>
    <w:rsid w:val="001B32BD"/>
    <w:pPr>
      <w:tabs>
        <w:tab w:val="center" w:pos="4320"/>
        <w:tab w:val="right" w:pos="8640"/>
      </w:tabs>
    </w:pPr>
    <w:rPr>
      <w:szCs w:val="20"/>
    </w:rPr>
  </w:style>
  <w:style w:type="character" w:customStyle="1" w:styleId="HeaderChar">
    <w:name w:val="Header Char"/>
    <w:basedOn w:val="DefaultParagraphFont"/>
    <w:link w:val="Header"/>
    <w:rsid w:val="001B32B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B32BD"/>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1B32B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B32B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B32BD"/>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B32B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B32BD"/>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B32B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B32BD"/>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1B32BD"/>
    <w:rPr>
      <w:rFonts w:ascii="Times New Roman" w:eastAsia="Times New Roman" w:hAnsi="Times New Roman" w:cs="Times New Roman"/>
      <w:b/>
      <w:sz w:val="24"/>
      <w:szCs w:val="20"/>
    </w:rPr>
  </w:style>
  <w:style w:type="character" w:styleId="PageNumber">
    <w:name w:val="page number"/>
    <w:basedOn w:val="DefaultParagraphFont"/>
    <w:rsid w:val="001B32BD"/>
    <w:rPr>
      <w:rFonts w:ascii="Times New Roman" w:hAnsi="Times New Roman"/>
      <w:sz w:val="24"/>
    </w:rPr>
  </w:style>
  <w:style w:type="paragraph" w:styleId="Quote">
    <w:name w:val="Quote"/>
    <w:next w:val="Normal"/>
    <w:link w:val="QuoteChar"/>
    <w:qFormat/>
    <w:rsid w:val="001B32BD"/>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1B32BD"/>
    <w:rPr>
      <w:rFonts w:ascii="Times New Roman" w:eastAsia="Times New Roman" w:hAnsi="Times New Roman" w:cs="Times New Roman"/>
      <w:sz w:val="24"/>
      <w:szCs w:val="20"/>
    </w:rPr>
  </w:style>
  <w:style w:type="paragraph" w:styleId="Revision">
    <w:name w:val="Revision"/>
    <w:hidden/>
    <w:uiPriority w:val="99"/>
    <w:semiHidden/>
    <w:rsid w:val="007A6A4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6A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A4D"/>
    <w:rPr>
      <w:rFonts w:ascii="Segoe UI" w:hAnsi="Segoe UI" w:cs="Segoe UI"/>
      <w:sz w:val="18"/>
      <w:szCs w:val="18"/>
    </w:rPr>
  </w:style>
  <w:style w:type="character" w:styleId="CommentReference">
    <w:name w:val="annotation reference"/>
    <w:basedOn w:val="DefaultParagraphFont"/>
    <w:uiPriority w:val="99"/>
    <w:semiHidden/>
    <w:unhideWhenUsed/>
    <w:rsid w:val="00FC052A"/>
    <w:rPr>
      <w:sz w:val="18"/>
      <w:szCs w:val="18"/>
    </w:rPr>
  </w:style>
  <w:style w:type="paragraph" w:styleId="CommentText">
    <w:name w:val="annotation text"/>
    <w:basedOn w:val="Normal"/>
    <w:link w:val="CommentTextChar"/>
    <w:uiPriority w:val="99"/>
    <w:semiHidden/>
    <w:unhideWhenUsed/>
    <w:rsid w:val="00FC052A"/>
    <w:pPr>
      <w:spacing w:line="240" w:lineRule="auto"/>
    </w:pPr>
  </w:style>
  <w:style w:type="character" w:customStyle="1" w:styleId="CommentTextChar">
    <w:name w:val="Comment Text Char"/>
    <w:basedOn w:val="DefaultParagraphFont"/>
    <w:link w:val="CommentText"/>
    <w:uiPriority w:val="99"/>
    <w:semiHidden/>
    <w:rsid w:val="00FC052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052A"/>
    <w:rPr>
      <w:b/>
      <w:bCs/>
      <w:sz w:val="20"/>
      <w:szCs w:val="20"/>
    </w:rPr>
  </w:style>
  <w:style w:type="character" w:customStyle="1" w:styleId="CommentSubjectChar">
    <w:name w:val="Comment Subject Char"/>
    <w:basedOn w:val="CommentTextChar"/>
    <w:link w:val="CommentSubject"/>
    <w:uiPriority w:val="99"/>
    <w:semiHidden/>
    <w:rsid w:val="00FC052A"/>
    <w:rPr>
      <w:rFonts w:ascii="Times New Roman" w:hAnsi="Times New Roman" w:cs="Times New Roman"/>
      <w:b/>
      <w:bCs/>
      <w:sz w:val="20"/>
      <w:szCs w:val="20"/>
    </w:rPr>
  </w:style>
  <w:style w:type="paragraph" w:styleId="ListParagraph">
    <w:name w:val="List Paragraph"/>
    <w:basedOn w:val="Normal"/>
    <w:uiPriority w:val="34"/>
    <w:qFormat/>
    <w:rsid w:val="003479FE"/>
    <w:pPr>
      <w:ind w:left="720"/>
      <w:contextualSpacing/>
    </w:pPr>
  </w:style>
  <w:style w:type="character" w:styleId="Hyperlink">
    <w:name w:val="Hyperlink"/>
    <w:basedOn w:val="DefaultParagraphFont"/>
    <w:uiPriority w:val="99"/>
    <w:unhideWhenUsed/>
    <w:rsid w:val="007852EF"/>
    <w:rPr>
      <w:color w:val="0563C1" w:themeColor="hyperlink"/>
      <w:u w:val="single"/>
    </w:rPr>
  </w:style>
  <w:style w:type="table" w:styleId="TableGrid">
    <w:name w:val="Table Grid"/>
    <w:basedOn w:val="TableNormal"/>
    <w:uiPriority w:val="39"/>
    <w:rsid w:val="00581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2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645">
      <w:bodyDiv w:val="1"/>
      <w:marLeft w:val="0"/>
      <w:marRight w:val="0"/>
      <w:marTop w:val="0"/>
      <w:marBottom w:val="0"/>
      <w:divBdr>
        <w:top w:val="none" w:sz="0" w:space="0" w:color="auto"/>
        <w:left w:val="none" w:sz="0" w:space="0" w:color="auto"/>
        <w:bottom w:val="none" w:sz="0" w:space="0" w:color="auto"/>
        <w:right w:val="none" w:sz="0" w:space="0" w:color="auto"/>
      </w:divBdr>
    </w:div>
    <w:div w:id="359430284">
      <w:bodyDiv w:val="1"/>
      <w:marLeft w:val="0"/>
      <w:marRight w:val="0"/>
      <w:marTop w:val="0"/>
      <w:marBottom w:val="0"/>
      <w:divBdr>
        <w:top w:val="none" w:sz="0" w:space="0" w:color="auto"/>
        <w:left w:val="none" w:sz="0" w:space="0" w:color="auto"/>
        <w:bottom w:val="none" w:sz="0" w:space="0" w:color="auto"/>
        <w:right w:val="none" w:sz="0" w:space="0" w:color="auto"/>
      </w:divBdr>
    </w:div>
    <w:div w:id="608703452">
      <w:bodyDiv w:val="1"/>
      <w:marLeft w:val="0"/>
      <w:marRight w:val="0"/>
      <w:marTop w:val="0"/>
      <w:marBottom w:val="0"/>
      <w:divBdr>
        <w:top w:val="none" w:sz="0" w:space="0" w:color="auto"/>
        <w:left w:val="none" w:sz="0" w:space="0" w:color="auto"/>
        <w:bottom w:val="none" w:sz="0" w:space="0" w:color="auto"/>
        <w:right w:val="none" w:sz="0" w:space="0" w:color="auto"/>
      </w:divBdr>
    </w:div>
    <w:div w:id="728958377">
      <w:bodyDiv w:val="1"/>
      <w:marLeft w:val="0"/>
      <w:marRight w:val="0"/>
      <w:marTop w:val="0"/>
      <w:marBottom w:val="0"/>
      <w:divBdr>
        <w:top w:val="none" w:sz="0" w:space="0" w:color="auto"/>
        <w:left w:val="none" w:sz="0" w:space="0" w:color="auto"/>
        <w:bottom w:val="none" w:sz="0" w:space="0" w:color="auto"/>
        <w:right w:val="none" w:sz="0" w:space="0" w:color="auto"/>
      </w:divBdr>
    </w:div>
    <w:div w:id="811485893">
      <w:bodyDiv w:val="1"/>
      <w:marLeft w:val="0"/>
      <w:marRight w:val="0"/>
      <w:marTop w:val="0"/>
      <w:marBottom w:val="0"/>
      <w:divBdr>
        <w:top w:val="none" w:sz="0" w:space="0" w:color="auto"/>
        <w:left w:val="none" w:sz="0" w:space="0" w:color="auto"/>
        <w:bottom w:val="none" w:sz="0" w:space="0" w:color="auto"/>
        <w:right w:val="none" w:sz="0" w:space="0" w:color="auto"/>
      </w:divBdr>
    </w:div>
    <w:div w:id="16196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tel:(202)%20328-5052" TargetMode="External"/><Relationship Id="rId10" Type="http://schemas.openxmlformats.org/officeDocument/2006/relationships/hyperlink" Target="mailto:david.hayes@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D5E0-0C3B-BD47-9768-85C6ADB9C6AF}">
  <ds:schemaRefs>
    <ds:schemaRef ds:uri="http://schemas.openxmlformats.org/officeDocument/2006/bibliography"/>
  </ds:schemaRefs>
</ds:datastoreItem>
</file>

<file path=customXml/itemProps2.xml><?xml version="1.0" encoding="utf-8"?>
<ds:datastoreItem xmlns:ds="http://schemas.openxmlformats.org/officeDocument/2006/customXml" ds:itemID="{B9AEBCFD-BE2A-DD4E-AF45-06BFE53D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7297</Characters>
  <Application>Microsoft Macintosh Word</Application>
  <DocSecurity>0</DocSecurity>
  <PresentationFormat>14|.DOCX</PresentationFormat>
  <Lines>60</Lines>
  <Paragraphs>17</Paragraphs>
  <ScaleCrop>false</ScaleCrop>
  <HeadingPairs>
    <vt:vector size="2" baseType="variant">
      <vt:variant>
        <vt:lpstr>Title</vt:lpstr>
      </vt:variant>
      <vt:variant>
        <vt:i4>1</vt:i4>
      </vt:variant>
    </vt:vector>
  </HeadingPairs>
  <TitlesOfParts>
    <vt:vector size="1" baseType="lpstr">
      <vt:lpstr>State Impact Center Retainer agreement (00126919-2).DOCX</vt:lpstr>
    </vt:vector>
  </TitlesOfParts>
  <Company>CCSF</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Impact Center Retainer agreement (00126919-2).DOCX</dc:title>
  <dc:subject>00126919.2</dc:subject>
  <dc:creator>Leslie Dubeck</dc:creator>
  <cp:lastModifiedBy>Microsoft Office User</cp:lastModifiedBy>
  <cp:revision>3</cp:revision>
  <cp:lastPrinted>2017-09-28T13:07:00Z</cp:lastPrinted>
  <dcterms:created xsi:type="dcterms:W3CDTF">2017-11-16T14:42:00Z</dcterms:created>
  <dcterms:modified xsi:type="dcterms:W3CDTF">2017-11-16T14:43:00Z</dcterms:modified>
</cp:coreProperties>
</file>